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Project Wave</w:t>
      </w:r>
    </w:p>
    <w:p>
      <w:r>
        <w:rPr>
          <w:rFonts w:ascii="Calibri" w:hAnsi="Calibri" w:eastAsia="Microsoft YaHei"/>
          <w:b w:val="0"/>
          <w:i w:val="0"/>
          <w:sz w:val="32"/>
        </w:rPr>
        <w:t>投资信息备忘录</w:t>
      </w:r>
    </w:p>
    <w:p/>
    <w:p>
      <w:r>
        <w:rPr>
          <w:rFonts w:ascii="Calibri" w:hAnsi="Calibri" w:eastAsia="Microsoft YaHei"/>
          <w:b w:val="0"/>
          <w:i w:val="0"/>
          <w:sz w:val="28"/>
        </w:rPr>
        <w:t>2022年8月</w:t>
      </w:r>
    </w:p>
    <w:p/>
    <w:p>
      <w:r>
        <w:rPr>
          <w:rFonts w:ascii="Calibri" w:hAnsi="Calibri" w:eastAsia="Microsoft YaHei"/>
          <w:b w:val="0"/>
          <w:i w:val="0"/>
          <w:sz w:val="24"/>
        </w:rPr>
        <w:t>Atlantico Capital Partners, LLC</w:t>
      </w:r>
    </w:p>
    <w:p>
      <w:r>
        <w:rPr>
          <w:rFonts w:ascii="Calibri" w:hAnsi="Calibri" w:eastAsia="Microsoft YaHei"/>
          <w:b w:val="0"/>
          <w:i w:val="0"/>
        </w:rPr>
        <w:t>strictly private and confidential</w:t>
      </w:r>
    </w:p>
    <w:p>
      <w:r>
        <w:br w:type="page"/>
      </w:r>
    </w:p>
    <w:p>
      <w:pPr>
        <w:pStyle w:val="Heading1"/>
      </w:pPr>
      <w:r>
        <w:rPr>
          <w:rFonts w:ascii="Calibri" w:hAnsi="Calibri" w:eastAsia="Microsoft YaHei"/>
        </w:rPr>
        <w:t>保密声明</w:t>
      </w:r>
    </w:p>
    <w:p>
      <w:r>
        <w:rPr>
          <w:rFonts w:ascii="Calibri" w:hAnsi="Calibri" w:eastAsia="Microsoft YaHei"/>
          <w:b w:val="0"/>
          <w:i w:val="0"/>
        </w:rPr>
        <w:t>本保密信息备忘录（以下简称"CIM"）由Atlantico Capital Partners, LLC（以下简称"Atlantico Capital"、"Atlantico"或"财务顾问"）为本备忘录接收方独家使用而编制。任何关于未来可能发生的事件的前瞻性陈述、估计或预测（包括收入、支出、净利润、股东现金流及股票表现等预测）均基于Atlantico Capital的合理判断，反映了对公司未来表现的若干假设，并受限于超出公司控制范围的重大业务、经济、监管及竞争不确定性因素。不能保证这些前瞻性陈述、估计或预测将实现。</w:t>
      </w:r>
    </w:p>
    <w:p>
      <w:r>
        <w:rPr>
          <w:rFonts w:ascii="Calibri" w:hAnsi="Calibri" w:eastAsia="Microsoft YaHei"/>
          <w:b w:val="0"/>
          <w:i w:val="0"/>
        </w:rPr>
        <w:t>本备忘录中的观点代表Atlantico Capital在当前时点的看法，因此可能发生变化和修改。Atlantico Capital未对本备忘录所含信息进行独立验证，对因使用本信息而产生的任何直接损失或利润减少不承担责任。</w:t>
      </w:r>
    </w:p>
    <w:p>
      <w:r>
        <w:rPr>
          <w:rFonts w:ascii="Calibri" w:hAnsi="Calibri" w:eastAsia="Microsoft YaHei"/>
          <w:b w:val="0"/>
          <w:i w:val="0"/>
        </w:rPr>
        <w:t>本备忘录仅供信息目的编写，不应被解释为购买或出售任何证券或相关金融工具的要约或 solicitation。您不应将本备忘录的内容视为法律、税务、会计或投资建议或推荐。您应就本备忘录所述任何交易相关的法律、税务、财务及其他相关事项咨询您自己的顾问，并进行您自己的调查和分析。本备忘录不声称囊括所有内容或包含您评估参与本交易所需的所有信息。</w:t>
      </w:r>
    </w:p>
    <w:p>
      <w:r>
        <w:rPr>
          <w:rFonts w:ascii="Calibri" w:hAnsi="Calibri" w:eastAsia="Microsoft YaHei"/>
          <w:b w:val="0"/>
          <w:i w:val="0"/>
        </w:rPr>
        <w:t>本备忘录由Atlantico Capital以保密方式仅为您的使用和利益编制；但您及您的任何员工、代表或其他代理人可向任何人不受限制地披露与本交易税处理和税结构相关的所有信息（包括与该税处理和结构相关的意见或其他税务分析）。未经Atlantico Capital事先书面同意，不得以任何方式复制、复制、分发或向他人传递本备忘录。</w:t>
      </w:r>
    </w:p>
    <w:p>
      <w:r>
        <w:br w:type="page"/>
      </w:r>
    </w:p>
    <w:p>
      <w:pPr>
        <w:pStyle w:val="Heading1"/>
      </w:pPr>
      <w:r>
        <w:rPr>
          <w:rFonts w:ascii="Calibri" w:hAnsi="Calibri" w:eastAsia="Microsoft YaHei"/>
        </w:rPr>
        <w:t>目录</w:t>
      </w:r>
    </w:p>
    <w:p>
      <w:r>
        <w:rPr>
          <w:rFonts w:ascii="Calibri" w:hAnsi="Calibri" w:eastAsia="Microsoft YaHei"/>
          <w:b w:val="0"/>
          <w:i w:val="0"/>
        </w:rPr>
        <w:t>1. 执行摘要</w:t>
      </w:r>
    </w:p>
    <w:p>
      <w:r>
        <w:rPr>
          <w:rFonts w:ascii="Calibri" w:hAnsi="Calibri" w:eastAsia="Microsoft YaHei"/>
          <w:b w:val="0"/>
          <w:i w:val="0"/>
        </w:rPr>
        <w:t>2. 关键投资亮点</w:t>
      </w:r>
    </w:p>
    <w:p>
      <w:r>
        <w:rPr>
          <w:rFonts w:ascii="Calibri" w:hAnsi="Calibri" w:eastAsia="Microsoft YaHei"/>
          <w:b w:val="0"/>
          <w:i w:val="0"/>
        </w:rPr>
        <w:t>3. 项目详情</w:t>
      </w:r>
    </w:p>
    <w:p>
      <w:r>
        <w:rPr>
          <w:rFonts w:ascii="Calibri" w:hAnsi="Calibri" w:eastAsia="Microsoft YaHei"/>
          <w:b w:val="0"/>
          <w:i w:val="0"/>
        </w:rPr>
        <w:t>4. 关键合同</w:t>
      </w:r>
    </w:p>
    <w:p>
      <w:r>
        <w:rPr>
          <w:rFonts w:ascii="Calibri" w:hAnsi="Calibri" w:eastAsia="Microsoft YaHei"/>
          <w:b w:val="0"/>
          <w:i w:val="0"/>
        </w:rPr>
        <w:t>5. 融资</w:t>
      </w:r>
    </w:p>
    <w:p>
      <w:r>
        <w:rPr>
          <w:rFonts w:ascii="Calibri" w:hAnsi="Calibri" w:eastAsia="Microsoft YaHei"/>
          <w:b w:val="0"/>
          <w:i w:val="0"/>
        </w:rPr>
        <w:t>6. 财务概况</w:t>
      </w:r>
    </w:p>
    <w:p>
      <w:r>
        <w:rPr>
          <w:rFonts w:ascii="Calibri" w:hAnsi="Calibri" w:eastAsia="Microsoft YaHei"/>
          <w:b w:val="0"/>
          <w:i w:val="0"/>
        </w:rPr>
        <w:t>7. 附录:</w:t>
      </w:r>
    </w:p>
    <w:p>
      <w:r>
        <w:rPr>
          <w:rFonts w:ascii="Calibri" w:hAnsi="Calibri" w:eastAsia="Microsoft YaHei"/>
          <w:b w:val="0"/>
          <w:i w:val="0"/>
        </w:rPr>
        <w:t xml:space="preserve">   7.1 – 财务信息</w:t>
      </w:r>
    </w:p>
    <w:p>
      <w:r>
        <w:rPr>
          <w:rFonts w:ascii="Calibri" w:hAnsi="Calibri" w:eastAsia="Microsoft YaHei"/>
          <w:b w:val="0"/>
          <w:i w:val="0"/>
        </w:rPr>
        <w:t xml:space="preserve">   7.2 – 市场概览</w:t>
      </w:r>
    </w:p>
    <w:p>
      <w:r>
        <w:rPr>
          <w:rFonts w:ascii="Calibri" w:hAnsi="Calibri" w:eastAsia="Microsoft YaHei"/>
          <w:b w:val="0"/>
          <w:i w:val="0"/>
        </w:rPr>
        <w:t xml:space="preserve">   7.3 – 股东结构</w:t>
      </w:r>
    </w:p>
    <w:p>
      <w:r>
        <w:br w:type="page"/>
      </w:r>
    </w:p>
    <w:p>
      <w:pPr>
        <w:pStyle w:val="Heading1"/>
      </w:pPr>
      <w:r>
        <w:rPr>
          <w:rFonts w:ascii="Calibri" w:hAnsi="Calibri" w:eastAsia="Microsoft YaHei"/>
        </w:rPr>
        <w:t>1. 执行摘要</w:t>
      </w:r>
    </w:p>
    <w:p>
      <w:pPr>
        <w:pStyle w:val="Heading2"/>
      </w:pPr>
      <w:r>
        <w:rPr>
          <w:rFonts w:ascii="Calibri" w:hAnsi="Calibri" w:eastAsia="Microsoft YaHei"/>
        </w:rPr>
        <w:t>交易概述</w:t>
      </w:r>
    </w:p>
    <w:p>
      <w:r>
        <w:rPr>
          <w:rFonts w:ascii="Calibri" w:hAnsi="Calibri" w:eastAsia="Microsoft YaHei"/>
          <w:b w:val="0"/>
          <w:i w:val="0"/>
        </w:rPr>
        <w:t>Atlantico Capital Partners（以下简称"Atlantico"或"财务顾问"）已接受Energy Development Partners LLC（以下简称"EDP"）和ib Vogt GmbH（以下简称"IBV"）及其他关联方的委托（以下简称"赞助商"或"公司"），担任其独家财务顾问，负责处理可能出售多米尼加共和国Bani Solar光伏项目（以下简称"Bani Solar项目"、"Project Wave"或"项目"）100%股权的相关事宜（以下简称"交易"）。</w:t>
      </w:r>
    </w:p>
    <w:p>
      <w:r>
        <w:rPr>
          <w:rFonts w:ascii="Calibri" w:hAnsi="Calibri" w:eastAsia="Microsoft YaHei"/>
          <w:b w:val="0"/>
          <w:i w:val="0"/>
        </w:rPr>
        <w:t>该资产是一个200 MWp（160 MWac）的太阳能光伏项目，由赞助商在多米尼加共和国Bani市开发。</w:t>
      </w:r>
    </w:p>
    <w:p>
      <w:r>
        <w:rPr>
          <w:rFonts w:ascii="Calibri" w:hAnsi="Calibri" w:eastAsia="Microsoft YaHei"/>
          <w:b w:val="0"/>
          <w:i w:val="0"/>
        </w:rPr>
        <w:t>• Bani Solar项目位于多米尼加共和国南部Peravia省，圣地亚哥西部。预计将于2022年第四季度达到"准备建设"状态，投产日期（ COD）为2024年第三季度</w:t>
      </w:r>
    </w:p>
    <w:p>
      <w:r>
        <w:rPr>
          <w:rFonts w:ascii="Calibri" w:hAnsi="Calibri" w:eastAsia="Microsoft YaHei"/>
          <w:b w:val="0"/>
          <w:i w:val="0"/>
        </w:rPr>
        <w:t>项目由EDP和IBV分别持股50%，并与公共配电公司Edesur Dominicana S.A.（以下简称"Edesur"）签订了一份覆盖100%发电量的15年美元PPA协议。</w:t>
      </w:r>
    </w:p>
    <w:p>
      <w:r>
        <w:rPr>
          <w:rFonts w:ascii="Calibri" w:hAnsi="Calibri" w:eastAsia="Microsoft YaHei"/>
          <w:b w:val="0"/>
          <w:i w:val="0"/>
        </w:rPr>
        <w:t>• EDP是一家总部位于罗德岛的全方位服务太阳能开发商。EDP成员合计拥有超过100年的经验，成功向州和地方政府机构交付可再生能源项目</w:t>
      </w:r>
    </w:p>
    <w:p>
      <w:r>
        <w:rPr>
          <w:rFonts w:ascii="Calibri" w:hAnsi="Calibri" w:eastAsia="Microsoft YaHei"/>
          <w:b w:val="0"/>
          <w:i w:val="0"/>
        </w:rPr>
        <w:t>• ib vogt总部位于柏林，由DIF多数持股，在可再生能源行业拥有超过18年的经验，融资超过20亿美元，交付近2.2 GWp的能源，全球管道项目达40 GWp</w:t>
      </w:r>
    </w:p>
    <w:p>
      <w:pPr>
        <w:pStyle w:val="Heading2"/>
      </w:pPr>
      <w:r>
        <w:rPr>
          <w:rFonts w:ascii="Calibri" w:hAnsi="Calibri" w:eastAsia="Microsoft YaHei"/>
        </w:rPr>
        <w:t>项目关键指标</w:t>
      </w:r>
    </w:p>
    <w:p>
      <w:r>
        <w:rPr>
          <w:rFonts w:ascii="Calibri" w:hAnsi="Calibri" w:eastAsia="Microsoft YaHei"/>
          <w:b w:val="0"/>
          <w:i w:val="0"/>
        </w:rPr>
        <w:t>年均太阳辐照度：1,851 kWh/kWp</w:t>
      </w:r>
    </w:p>
    <w:p>
      <w:r>
        <w:rPr>
          <w:rFonts w:ascii="Calibri" w:hAnsi="Calibri" w:eastAsia="Microsoft YaHei"/>
          <w:b w:val="0"/>
          <w:i w:val="0"/>
        </w:rPr>
        <w:t>净容量因子：约21.11%</w:t>
      </w:r>
    </w:p>
    <w:p>
      <w:r>
        <w:rPr>
          <w:rFonts w:ascii="Calibri" w:hAnsi="Calibri" w:eastAsia="Microsoft YaHei"/>
          <w:b w:val="0"/>
          <w:i w:val="0"/>
        </w:rPr>
        <w:t>项目状态：准备建设</w:t>
      </w:r>
    </w:p>
    <w:p>
      <w:r>
        <w:rPr>
          <w:rFonts w:ascii="Calibri" w:hAnsi="Calibri" w:eastAsia="Microsoft YaHei"/>
          <w:b w:val="0"/>
          <w:i w:val="0"/>
        </w:rPr>
        <w:t>建设工期：21个月（COD 2024年Q3）</w:t>
      </w:r>
    </w:p>
    <w:p>
      <w:r>
        <w:rPr>
          <w:rFonts w:ascii="Calibri" w:hAnsi="Calibri" w:eastAsia="Microsoft YaHei"/>
          <w:b w:val="0"/>
          <w:i w:val="0"/>
        </w:rPr>
        <w:t>总投资：2.298亿美元（115万美元/MW）</w:t>
      </w:r>
    </w:p>
    <w:p>
      <w:r>
        <w:rPr>
          <w:rFonts w:ascii="Calibri" w:hAnsi="Calibri" w:eastAsia="Microsoft YaHei"/>
          <w:b w:val="0"/>
          <w:i w:val="0"/>
        </w:rPr>
        <w:t>PPA条件：约15年</w:t>
      </w:r>
    </w:p>
    <w:p>
      <w:r>
        <w:rPr>
          <w:rFonts w:ascii="Calibri" w:hAnsi="Calibri" w:eastAsia="Microsoft YaHei"/>
          <w:b w:val="0"/>
          <w:i w:val="0"/>
        </w:rPr>
        <w:t>电价：91.5美元/MWh + 前5年按美国CPI的15.7%指数化调整</w:t>
      </w:r>
    </w:p>
    <w:p>
      <w:pPr>
        <w:pStyle w:val="Heading2"/>
      </w:pPr>
      <w:r>
        <w:rPr>
          <w:rFonts w:ascii="Calibri" w:hAnsi="Calibri" w:eastAsia="Microsoft YaHei"/>
        </w:rPr>
        <w:t>主要亮点</w:t>
      </w:r>
    </w:p>
    <w:p>
      <w:pPr>
        <w:pStyle w:val="ListBullet"/>
      </w:pPr>
      <w:r>
        <w:rPr>
          <w:rFonts w:ascii="Calibri" w:hAnsi="Calibri" w:eastAsia="Microsoft YaHei"/>
        </w:rPr>
        <w:t>200 MWp装机容量，可用容量160 MW</w:t>
      </w:r>
    </w:p>
    <w:p>
      <w:pPr>
        <w:pStyle w:val="ListBullet"/>
      </w:pPr>
      <w:r>
        <w:rPr>
          <w:rFonts w:ascii="Calibri" w:hAnsi="Calibri" w:eastAsia="Microsoft YaHei"/>
        </w:rPr>
        <w:t>与多米尼加共和国公共配电公司Edesur签订15年带有"照付不议"条款的PPA（标普BB-，穆迪Ba3）</w:t>
      </w:r>
    </w:p>
    <w:p>
      <w:pPr>
        <w:pStyle w:val="ListBullet"/>
      </w:pPr>
      <w:r>
        <w:rPr>
          <w:rFonts w:ascii="Calibri" w:hAnsi="Calibri" w:eastAsia="Microsoft YaHei"/>
        </w:rPr>
        <w:t>土地已锁定 - 420公顷租赁选择权已签署</w:t>
      </w:r>
    </w:p>
    <w:p>
      <w:pPr>
        <w:pStyle w:val="ListBullet"/>
      </w:pPr>
      <w:r>
        <w:rPr>
          <w:rFonts w:ascii="Calibri" w:hAnsi="Calibri" w:eastAsia="Microsoft YaHei"/>
        </w:rPr>
        <w:t>2025年预计净发电量为368.7 GWh</w:t>
      </w:r>
    </w:p>
    <w:p>
      <w:r>
        <w:br w:type="page"/>
      </w:r>
    </w:p>
    <w:p>
      <w:pPr>
        <w:pStyle w:val="Heading1"/>
      </w:pPr>
      <w:r>
        <w:rPr>
          <w:rFonts w:ascii="Calibri" w:hAnsi="Calibri" w:eastAsia="Microsoft YaHei"/>
        </w:rPr>
        <w:t>2. 关键投资亮点</w:t>
      </w:r>
    </w:p>
    <w:p>
      <w:pPr>
        <w:pStyle w:val="Heading2"/>
      </w:pPr>
      <w:r>
        <w:rPr>
          <w:rFonts w:ascii="Calibri" w:hAnsi="Calibri" w:eastAsia="Microsoft YaHei"/>
        </w:rPr>
        <w:t>摘要</w:t>
      </w:r>
    </w:p>
    <w:p>
      <w:pPr>
        <w:pStyle w:val="Heading3"/>
      </w:pPr>
      <w:r>
        <w:rPr>
          <w:rFonts w:ascii="Calibri" w:hAnsi="Calibri" w:eastAsia="Microsoft YaHei"/>
        </w:rPr>
        <w:t>1. 强有力15年期美元PPA协议，无电力替代风险、无节点风险和非需求风险</w:t>
      </w:r>
    </w:p>
    <w:p>
      <w:r>
        <w:rPr>
          <w:rFonts w:ascii="Calibri" w:hAnsi="Calibri" w:eastAsia="Microsoft YaHei"/>
          <w:b w:val="0"/>
          <w:i w:val="0"/>
        </w:rPr>
        <w:t>• PPA设计为"照付不议"形式，Bani Solar按调度发电量的100%获得报酬，电价为91.5美元/MWh。该价格自2022年9月起按美国CPI的15.7%按月调整，为期5年</w:t>
      </w:r>
    </w:p>
    <w:p>
      <w:r>
        <w:rPr>
          <w:rFonts w:ascii="Calibri" w:hAnsi="Calibri" w:eastAsia="Microsoft YaHei"/>
          <w:b w:val="0"/>
          <w:i w:val="0"/>
        </w:rPr>
        <w:t>• 如果项目包含至少30 MWh储能容量，有机会获得PPA价格提升</w:t>
      </w:r>
    </w:p>
    <w:p>
      <w:r>
        <w:rPr>
          <w:rFonts w:ascii="Calibri" w:hAnsi="Calibri" w:eastAsia="Microsoft YaHei"/>
          <w:b w:val="0"/>
          <w:i w:val="0"/>
        </w:rPr>
        <w:t>• 购电方为国有Edesur（多米尼加共和国标普BB-，惠誉和穆迪Ba3，展望稳定）</w:t>
      </w:r>
    </w:p>
    <w:p>
      <w:pPr>
        <w:pStyle w:val="Heading3"/>
      </w:pPr>
      <w:r>
        <w:rPr>
          <w:rFonts w:ascii="Calibri" w:hAnsi="Calibri" w:eastAsia="Microsoft YaHei"/>
        </w:rPr>
        <w:t>2. 经验丰富的项目开发商，业绩记录稳固</w:t>
      </w:r>
    </w:p>
    <w:p>
      <w:r>
        <w:rPr>
          <w:rFonts w:ascii="Calibri" w:hAnsi="Calibri" w:eastAsia="Microsoft YaHei"/>
          <w:b w:val="0"/>
          <w:i w:val="0"/>
        </w:rPr>
        <w:t>• EDP是一家综合解决方案提供商，汇集了经验丰富的团队，负责可再生能源开发的所有方面，包括土地开发、许可、互联和融资解决方案</w:t>
      </w:r>
    </w:p>
    <w:p>
      <w:r>
        <w:rPr>
          <w:rFonts w:ascii="Calibri" w:hAnsi="Calibri" w:eastAsia="Microsoft YaHei"/>
          <w:b w:val="0"/>
          <w:i w:val="0"/>
        </w:rPr>
        <w:t>• 自2002年以来，ib vogt专注于太阳能项目开发，已向机构投资者出售超过1.26 GWp的项目</w:t>
      </w:r>
    </w:p>
    <w:p>
      <w:pPr>
        <w:pStyle w:val="Heading3"/>
      </w:pPr>
      <w:r>
        <w:rPr>
          <w:rFonts w:ascii="Calibri" w:hAnsi="Calibri" w:eastAsia="Microsoft YaHei"/>
        </w:rPr>
        <w:t>3. 多米尼加共和国准备就绪的基石可再生能源项目</w:t>
      </w:r>
    </w:p>
    <w:p>
      <w:r>
        <w:rPr>
          <w:rFonts w:ascii="Calibri" w:hAnsi="Calibri" w:eastAsia="Microsoft YaHei"/>
          <w:b w:val="0"/>
          <w:i w:val="0"/>
        </w:rPr>
        <w:t>• 项目已获得所有研究、许可证和政府批准，可以开始建设，包括互联协议、工程设计研究、环境影响评估和技术及市场报告等。项目完成后将成为多米尼加共和国最大的可再生能源资产</w:t>
      </w:r>
    </w:p>
    <w:p>
      <w:pPr>
        <w:pStyle w:val="Heading3"/>
      </w:pPr>
      <w:r>
        <w:rPr>
          <w:rFonts w:ascii="Calibri" w:hAnsi="Calibri" w:eastAsia="Microsoft YaHei"/>
        </w:rPr>
        <w:t>4. 优质选址位置</w:t>
      </w:r>
    </w:p>
    <w:p>
      <w:r>
        <w:rPr>
          <w:rFonts w:ascii="Calibri" w:hAnsi="Calibri" w:eastAsia="Microsoft YaHei"/>
          <w:b w:val="0"/>
          <w:i w:val="0"/>
        </w:rPr>
        <w:t>• 项目场地位于岛屿南部，圣地亚哥西部60公里（45分钟车程），Peravia省，是该国最高辐照区之一</w:t>
      </w:r>
    </w:p>
    <w:p>
      <w:r>
        <w:rPr>
          <w:rFonts w:ascii="Calibri" w:hAnsi="Calibri" w:eastAsia="Microsoft YaHei"/>
          <w:b w:val="0"/>
          <w:i w:val="0"/>
        </w:rPr>
        <w:t>• 场地租赁仅有一个土地所有者，拥有所有适当的许可证和许可</w:t>
      </w:r>
    </w:p>
    <w:p>
      <w:r>
        <w:rPr>
          <w:rFonts w:ascii="Calibri" w:hAnsi="Calibri" w:eastAsia="Microsoft YaHei"/>
          <w:b w:val="0"/>
          <w:i w:val="0"/>
        </w:rPr>
        <w:t>• 赞助商成功谈判了20年期的长期租赁协议，可续期三次，每次5年</w:t>
      </w:r>
    </w:p>
    <w:p>
      <w:pPr>
        <w:pStyle w:val="Heading3"/>
      </w:pPr>
      <w:r>
        <w:rPr>
          <w:rFonts w:ascii="Calibri" w:hAnsi="Calibri" w:eastAsia="Microsoft YaHei"/>
        </w:rPr>
        <w:t>5. 商业友好型经济，高增长前景</w:t>
      </w:r>
    </w:p>
    <w:p>
      <w:r>
        <w:rPr>
          <w:rFonts w:ascii="Calibri" w:hAnsi="Calibri" w:eastAsia="Microsoft YaHei"/>
          <w:b w:val="0"/>
          <w:i w:val="0"/>
        </w:rPr>
        <w:t>• 拉美最具活力的经济体之一，经济增长强劲，宏观经济稳定，社会成果改善</w:t>
      </w:r>
    </w:p>
    <w:p>
      <w:r>
        <w:rPr>
          <w:rFonts w:ascii="Calibri" w:hAnsi="Calibri" w:eastAsia="Microsoft YaHei"/>
          <w:b w:val="0"/>
          <w:i w:val="0"/>
        </w:rPr>
        <w:t>• 经济从新冠疫情中强劲反弹，2021年GDP增长12%，2022年预计增长5.5%</w:t>
      </w:r>
    </w:p>
    <w:p>
      <w:pPr>
        <w:pStyle w:val="Heading3"/>
      </w:pPr>
      <w:r>
        <w:rPr>
          <w:rFonts w:ascii="Calibri" w:hAnsi="Calibri" w:eastAsia="Microsoft YaHei"/>
        </w:rPr>
        <w:t>6. 监管环境和对私人投资有利的需求</w:t>
      </w:r>
    </w:p>
    <w:p>
      <w:r>
        <w:rPr>
          <w:rFonts w:ascii="Calibri" w:hAnsi="Calibri" w:eastAsia="Microsoft YaHei"/>
          <w:b w:val="0"/>
          <w:i w:val="0"/>
        </w:rPr>
        <w:t>• 通过国家能源委员会（CNE），政府制定了多项激励可再生能源的举措，包括直接财政转移和奖金制度、监管工具、商业激励和税收优惠</w:t>
      </w:r>
    </w:p>
    <w:p>
      <w:r>
        <w:br w:type="page"/>
      </w:r>
    </w:p>
    <w:p>
      <w:pPr>
        <w:pStyle w:val="Heading1"/>
      </w:pPr>
      <w:r>
        <w:rPr>
          <w:rFonts w:ascii="Calibri" w:hAnsi="Calibri" w:eastAsia="Microsoft YaHei"/>
        </w:rPr>
        <w:t>3. 项目详情</w:t>
      </w:r>
    </w:p>
    <w:p>
      <w:pPr>
        <w:pStyle w:val="Heading2"/>
      </w:pPr>
      <w:r>
        <w:rPr>
          <w:rFonts w:ascii="Calibri" w:hAnsi="Calibri" w:eastAsia="Microsoft YaHei"/>
        </w:rPr>
        <w:t>概要</w:t>
      </w:r>
    </w:p>
    <w:p>
      <w:r>
        <w:rPr>
          <w:rFonts w:ascii="Calibri" w:hAnsi="Calibri" w:eastAsia="Microsoft YaHei"/>
          <w:b w:val="0"/>
          <w:i w:val="0"/>
        </w:rPr>
        <w:t>Bani Solar由赞助商作为绿色field太阳能光伏能源项目开发。</w:t>
      </w:r>
    </w:p>
    <w:p>
      <w:r>
        <w:rPr>
          <w:rFonts w:ascii="Calibri" w:hAnsi="Calibri" w:eastAsia="Microsoft YaHei"/>
          <w:b w:val="0"/>
          <w:i w:val="0"/>
        </w:rPr>
        <w:t>• 项目特许经营权于2022年2月由CNE授予，在多米尼加共和国Peravia省一块420公顷场地上开发</w:t>
      </w:r>
    </w:p>
    <w:p>
      <w:r>
        <w:rPr>
          <w:rFonts w:ascii="Calibri" w:hAnsi="Calibri" w:eastAsia="Microsoft YaHei"/>
          <w:b w:val="0"/>
          <w:i w:val="0"/>
        </w:rPr>
        <w:t>• 项目装机容量高达200 MWp，可用容量160 MW</w:t>
      </w:r>
    </w:p>
    <w:p>
      <w:r>
        <w:rPr>
          <w:rFonts w:ascii="Calibri" w:hAnsi="Calibri" w:eastAsia="Microsoft YaHei"/>
          <w:b w:val="0"/>
          <w:i w:val="0"/>
        </w:rPr>
        <w:t>• Bani Solar与国有企业EDESUR签订了为期15年的PPA协议，预计将于2022年第三季度签署，可经双方同意延长至多五年，PPA电价打八折</w:t>
      </w:r>
    </w:p>
    <w:p>
      <w:r>
        <w:rPr>
          <w:rFonts w:ascii="Calibri" w:hAnsi="Calibri" w:eastAsia="Microsoft YaHei"/>
          <w:b w:val="0"/>
          <w:i w:val="0"/>
        </w:rPr>
        <w:t>• PPA覆盖100%的调度发电量（无限电风险）</w:t>
      </w:r>
    </w:p>
    <w:p>
      <w:r>
        <w:rPr>
          <w:rFonts w:ascii="Calibri" w:hAnsi="Calibri" w:eastAsia="Microsoft YaHei"/>
          <w:b w:val="0"/>
          <w:i w:val="0"/>
        </w:rPr>
        <w:t>• 项目已准备好建设，拥有多米尼加国家主管当局签发的所有必要的许可、授权和特许经营</w:t>
      </w:r>
    </w:p>
    <w:p>
      <w:r>
        <w:rPr>
          <w:rFonts w:ascii="Calibri" w:hAnsi="Calibri" w:eastAsia="Microsoft YaHei"/>
          <w:b w:val="0"/>
          <w:i w:val="0"/>
        </w:rPr>
        <w:t>• 估计建设时间约为21个月至投产，投资额为2.298亿美元</w:t>
      </w:r>
    </w:p>
    <w:p>
      <w:pPr>
        <w:pStyle w:val="Heading2"/>
      </w:pPr>
      <w:r>
        <w:rPr>
          <w:rFonts w:ascii="Calibri" w:hAnsi="Calibri" w:eastAsia="Microsoft YaHei"/>
        </w:rPr>
        <w:t>许可状态</w:t>
      </w:r>
    </w:p>
    <w:p>
      <w:pPr>
        <w:pStyle w:val="ListBullet"/>
      </w:pPr>
      <w:r>
        <w:rPr>
          <w:rFonts w:ascii="Calibri" w:hAnsi="Calibri" w:eastAsia="Microsoft YaHei"/>
        </w:rPr>
        <w:t>土地 - 420公顷场地已锁定，20年租赁+三个5年续期协议</w:t>
      </w:r>
    </w:p>
    <w:p>
      <w:pPr>
        <w:pStyle w:val="ListBullet"/>
      </w:pPr>
      <w:r>
        <w:rPr>
          <w:rFonts w:ascii="Calibri" w:hAnsi="Calibri" w:eastAsia="Microsoft YaHei"/>
        </w:rPr>
        <w:t>建筑许可 - 将在金融关闭前由公共基础设施和通信部签发</w:t>
      </w:r>
    </w:p>
    <w:p>
      <w:pPr>
        <w:pStyle w:val="ListBullet"/>
      </w:pPr>
      <w:r>
        <w:rPr>
          <w:rFonts w:ascii="Calibri" w:hAnsi="Calibri" w:eastAsia="Microsoft YaHei"/>
        </w:rPr>
        <w:t>环境许可 - 由环境和自然资源部签发</w:t>
      </w:r>
    </w:p>
    <w:p>
      <w:pPr>
        <w:pStyle w:val="ListBullet"/>
      </w:pPr>
      <w:r>
        <w:rPr>
          <w:rFonts w:ascii="Calibri" w:hAnsi="Calibri" w:eastAsia="Microsoft YaHei"/>
        </w:rPr>
        <w:t>互联 - 通过ETED的无异议函获得</w:t>
      </w:r>
    </w:p>
    <w:p>
      <w:pPr>
        <w:pStyle w:val="Heading2"/>
      </w:pPr>
      <w:r>
        <w:rPr>
          <w:rFonts w:ascii="Calibri" w:hAnsi="Calibri" w:eastAsia="Microsoft YaHei"/>
        </w:rPr>
        <w:t>技术概述</w:t>
      </w:r>
    </w:p>
    <w:p>
      <w:r>
        <w:rPr>
          <w:rFonts w:ascii="Calibri" w:hAnsi="Calibri" w:eastAsia="Microsoft YaHei"/>
          <w:b w:val="0"/>
          <w:i w:val="0"/>
        </w:rPr>
        <w:t>模块：Jinko Solar Tiger Neo N-Type 72HL4-BDV 565瓦（双面模块双层玻璃）</w:t>
      </w:r>
    </w:p>
    <w:p>
      <w:r>
        <w:rPr>
          <w:rFonts w:ascii="Calibri" w:hAnsi="Calibri" w:eastAsia="Microsoft YaHei"/>
          <w:b w:val="0"/>
          <w:i w:val="0"/>
        </w:rPr>
        <w:t>逆变器：华为SUN2000 – 215 KTL – HO</w:t>
      </w:r>
    </w:p>
    <w:p>
      <w:r>
        <w:rPr>
          <w:rFonts w:ascii="Calibri" w:hAnsi="Calibri" w:eastAsia="Microsoft YaHei"/>
          <w:b w:val="0"/>
          <w:i w:val="0"/>
        </w:rPr>
        <w:t>互联：138 kV与SENI互联</w:t>
      </w:r>
    </w:p>
    <w:p>
      <w:pPr>
        <w:pStyle w:val="Heading2"/>
      </w:pPr>
      <w:r>
        <w:rPr>
          <w:rFonts w:ascii="Calibri" w:hAnsi="Calibri" w:eastAsia="Microsoft YaHei"/>
        </w:rPr>
        <w:t>CAPEX和建设曲线</w:t>
      </w:r>
    </w:p>
    <w:p>
      <w:r>
        <w:rPr>
          <w:rFonts w:ascii="Calibri" w:hAnsi="Calibri" w:eastAsia="Microsoft YaHei"/>
          <w:b w:val="0"/>
          <w:i w:val="0"/>
        </w:rPr>
        <w:t>资金来源和使用（百万美元）：</w:t>
      </w:r>
    </w:p>
    <w:p>
      <w:r>
        <w:rPr>
          <w:rFonts w:ascii="Calibri" w:hAnsi="Calibri" w:eastAsia="Microsoft YaHei"/>
          <w:b w:val="0"/>
          <w:i w:val="0"/>
        </w:rPr>
        <w:t>来源：</w:t>
      </w:r>
    </w:p>
    <w:p>
      <w:r>
        <w:rPr>
          <w:rFonts w:ascii="Calibri" w:hAnsi="Calibri" w:eastAsia="Microsoft YaHei"/>
          <w:b w:val="0"/>
          <w:i w:val="0"/>
        </w:rPr>
        <w:t>• 债务：1.838亿美元（80%）</w:t>
      </w:r>
    </w:p>
    <w:p>
      <w:r>
        <w:rPr>
          <w:rFonts w:ascii="Calibri" w:hAnsi="Calibri" w:eastAsia="Microsoft YaHei"/>
          <w:b w:val="0"/>
          <w:i w:val="0"/>
        </w:rPr>
        <w:t>• 股权：4,610万美元（20%）</w:t>
      </w:r>
    </w:p>
    <w:p>
      <w:r>
        <w:rPr>
          <w:rFonts w:ascii="Calibri" w:hAnsi="Calibri" w:eastAsia="Microsoft YaHei"/>
          <w:b w:val="0"/>
          <w:i w:val="0"/>
        </w:rPr>
        <w:t>总计：2.298亿美元</w:t>
      </w:r>
    </w:p>
    <w:p>
      <w:r>
        <w:rPr>
          <w:rFonts w:ascii="Calibri" w:hAnsi="Calibri" w:eastAsia="Microsoft YaHei"/>
          <w:b w:val="0"/>
          <w:i w:val="0"/>
        </w:rPr>
        <w:t>使用：</w:t>
      </w:r>
    </w:p>
    <w:p>
      <w:r>
        <w:rPr>
          <w:rFonts w:ascii="Calibri" w:hAnsi="Calibri" w:eastAsia="Microsoft YaHei"/>
          <w:b w:val="0"/>
          <w:i w:val="0"/>
        </w:rPr>
        <w:t>• 建设成本：1.974亿美元</w:t>
      </w:r>
    </w:p>
    <w:p>
      <w:r>
        <w:rPr>
          <w:rFonts w:ascii="Calibri" w:hAnsi="Calibri" w:eastAsia="Microsoft YaHei"/>
          <w:b w:val="0"/>
          <w:i w:val="0"/>
        </w:rPr>
        <w:t>• 软成本：400万美元</w:t>
      </w:r>
    </w:p>
    <w:p>
      <w:r>
        <w:rPr>
          <w:rFonts w:ascii="Calibri" w:hAnsi="Calibri" w:eastAsia="Microsoft YaHei"/>
          <w:b w:val="0"/>
          <w:i w:val="0"/>
        </w:rPr>
        <w:t>• DSRA资金：1,070万美元</w:t>
      </w:r>
    </w:p>
    <w:p>
      <w:r>
        <w:rPr>
          <w:rFonts w:ascii="Calibri" w:hAnsi="Calibri" w:eastAsia="Microsoft YaHei"/>
          <w:b w:val="0"/>
          <w:i w:val="0"/>
        </w:rPr>
        <w:t>• 建设期利息：1,300万美元</w:t>
      </w:r>
    </w:p>
    <w:p>
      <w:r>
        <w:rPr>
          <w:rFonts w:ascii="Calibri" w:hAnsi="Calibri" w:eastAsia="Microsoft YaHei"/>
          <w:b w:val="0"/>
          <w:i w:val="0"/>
        </w:rPr>
        <w:t>• 交易费用：610万美元</w:t>
      </w:r>
    </w:p>
    <w:p>
      <w:r>
        <w:br w:type="page"/>
      </w:r>
    </w:p>
    <w:p>
      <w:pPr>
        <w:pStyle w:val="Heading1"/>
      </w:pPr>
      <w:r>
        <w:rPr>
          <w:rFonts w:ascii="Calibri" w:hAnsi="Calibri" w:eastAsia="Microsoft YaHei"/>
        </w:rPr>
        <w:t>4. 关键合同</w:t>
      </w:r>
    </w:p>
    <w:p>
      <w:pPr>
        <w:pStyle w:val="Heading2"/>
      </w:pPr>
      <w:r>
        <w:rPr>
          <w:rFonts w:ascii="Calibri" w:hAnsi="Calibri" w:eastAsia="Microsoft YaHei"/>
        </w:rPr>
        <w:t>PPA合同主要条款</w:t>
      </w:r>
    </w:p>
    <w:p>
      <w:r>
        <w:rPr>
          <w:rFonts w:ascii="Calibri" w:hAnsi="Calibri" w:eastAsia="Microsoft YaHei"/>
          <w:b w:val="0"/>
          <w:i w:val="0"/>
        </w:rPr>
        <w:t>装机容量：200 MWp（160 MW ac）</w:t>
      </w:r>
    </w:p>
    <w:p>
      <w:r>
        <w:rPr>
          <w:rFonts w:ascii="Calibri" w:hAnsi="Calibri" w:eastAsia="Microsoft YaHei"/>
          <w:b w:val="0"/>
          <w:i w:val="0"/>
        </w:rPr>
        <w:t>购电方：EDESUR DOMINICANA, S.A.（EDESUR），本地AAA评级</w:t>
      </w:r>
    </w:p>
    <w:p>
      <w:r>
        <w:rPr>
          <w:rFonts w:ascii="Calibri" w:hAnsi="Calibri" w:eastAsia="Microsoft YaHei"/>
          <w:b w:val="0"/>
          <w:i w:val="0"/>
        </w:rPr>
        <w:t>购买承诺：Bani Solar调度发电量的100%。项目无最低发电承诺</w:t>
      </w:r>
    </w:p>
    <w:p>
      <w:r>
        <w:rPr>
          <w:rFonts w:ascii="Calibri" w:hAnsi="Calibri" w:eastAsia="Microsoft YaHei"/>
          <w:b w:val="0"/>
          <w:i w:val="0"/>
        </w:rPr>
        <w:t>电价：91.5美元/MWh</w:t>
      </w:r>
    </w:p>
    <w:p>
      <w:r>
        <w:rPr>
          <w:rFonts w:ascii="Calibri" w:hAnsi="Calibri" w:eastAsia="Microsoft YaHei"/>
          <w:b w:val="0"/>
          <w:i w:val="0"/>
        </w:rPr>
        <w:t>年度价格指数化：自建设开始起5年内，按美国CPI的15.73%按月执行指数化</w:t>
      </w:r>
    </w:p>
    <w:p>
      <w:r>
        <w:rPr>
          <w:rFonts w:ascii="Calibri" w:hAnsi="Calibri" w:eastAsia="Microsoft YaHei"/>
          <w:b w:val="0"/>
          <w:i w:val="0"/>
        </w:rPr>
        <w:t>期限：15年，截止至2039年7月31日</w:t>
      </w:r>
    </w:p>
    <w:p>
      <w:r>
        <w:rPr>
          <w:rFonts w:ascii="Calibri" w:hAnsi="Calibri" w:eastAsia="Microsoft YaHei"/>
          <w:b w:val="0"/>
          <w:i w:val="0"/>
        </w:rPr>
        <w:t>延期：经双方同意可延长5年，条件是PPA电价至少降低20%</w:t>
      </w:r>
    </w:p>
    <w:p>
      <w:pPr>
        <w:pStyle w:val="Heading2"/>
      </w:pPr>
      <w:r>
        <w:rPr>
          <w:rFonts w:ascii="Calibri" w:hAnsi="Calibri" w:eastAsia="Microsoft YaHei"/>
        </w:rPr>
        <w:t>EPC合同主要条款</w:t>
      </w:r>
    </w:p>
    <w:p>
      <w:r>
        <w:rPr>
          <w:rFonts w:ascii="Calibri" w:hAnsi="Calibri" w:eastAsia="Microsoft YaHei"/>
          <w:b w:val="0"/>
          <w:i w:val="0"/>
        </w:rPr>
        <w:t>承包商：IBV Solar Spain SL</w:t>
      </w:r>
    </w:p>
    <w:p>
      <w:r>
        <w:rPr>
          <w:rFonts w:ascii="Calibri" w:hAnsi="Calibri" w:eastAsia="Microsoft YaHei"/>
          <w:b w:val="0"/>
          <w:i w:val="0"/>
        </w:rPr>
        <w:t>合同价格：1.762亿美元（0.881美元/瓦）</w:t>
      </w:r>
    </w:p>
    <w:p>
      <w:r>
        <w:rPr>
          <w:rFonts w:ascii="Calibri" w:hAnsi="Calibri" w:eastAsia="Microsoft YaHei"/>
          <w:b w:val="0"/>
          <w:i w:val="0"/>
        </w:rPr>
        <w:t>范围：交钥匙项目交付，包括：</w:t>
      </w:r>
    </w:p>
    <w:p>
      <w:r>
        <w:rPr>
          <w:rFonts w:ascii="Calibri" w:hAnsi="Calibri" w:eastAsia="Microsoft YaHei"/>
          <w:b w:val="0"/>
          <w:i w:val="0"/>
        </w:rPr>
        <w:t>• 土木、机械和电气工程</w:t>
      </w:r>
    </w:p>
    <w:p>
      <w:r>
        <w:rPr>
          <w:rFonts w:ascii="Calibri" w:hAnsi="Calibri" w:eastAsia="Microsoft YaHei"/>
          <w:b w:val="0"/>
          <w:i w:val="0"/>
        </w:rPr>
        <w:t>• 支架、模块和逆变器及变压器的安装和交付</w:t>
      </w:r>
    </w:p>
    <w:p>
      <w:r>
        <w:rPr>
          <w:rFonts w:ascii="Calibri" w:hAnsi="Calibri" w:eastAsia="Microsoft YaHei"/>
          <w:b w:val="0"/>
          <w:i w:val="0"/>
        </w:rPr>
        <w:t>• 电缆：直流电缆；交流电缆；从变压器站到现场变电站的高压电缆</w:t>
      </w:r>
    </w:p>
    <w:p>
      <w:r>
        <w:rPr>
          <w:rFonts w:ascii="Calibri" w:hAnsi="Calibri" w:eastAsia="Microsoft YaHei"/>
          <w:b w:val="0"/>
          <w:i w:val="0"/>
        </w:rPr>
        <w:t>• 互联基础设施：现场变电站、架空输电线路及互联</w:t>
      </w:r>
    </w:p>
    <w:p>
      <w:r>
        <w:rPr>
          <w:rFonts w:ascii="Calibri" w:hAnsi="Calibri" w:eastAsia="Microsoft YaHei"/>
          <w:b w:val="0"/>
          <w:i w:val="0"/>
        </w:rPr>
        <w:t>• SCADA和监控系统</w:t>
      </w:r>
    </w:p>
    <w:p>
      <w:r>
        <w:rPr>
          <w:rFonts w:ascii="Calibri" w:hAnsi="Calibri" w:eastAsia="Microsoft YaHei"/>
          <w:b w:val="0"/>
          <w:i w:val="0"/>
        </w:rPr>
        <w:t>• 计费、调试、测试、移交</w:t>
      </w:r>
    </w:p>
    <w:p>
      <w:r>
        <w:rPr>
          <w:rFonts w:ascii="Calibri" w:hAnsi="Calibri" w:eastAsia="Microsoft YaHei"/>
          <w:b w:val="0"/>
          <w:i w:val="0"/>
        </w:rPr>
        <w:t>• 质保期：从PAC日期起2年</w:t>
      </w:r>
    </w:p>
    <w:p>
      <w:pPr>
        <w:pStyle w:val="Heading2"/>
      </w:pPr>
      <w:r>
        <w:rPr>
          <w:rFonts w:ascii="Calibri" w:hAnsi="Calibri" w:eastAsia="Microsoft YaHei"/>
        </w:rPr>
        <w:t>O&amp;M合同主要条款</w:t>
      </w:r>
    </w:p>
    <w:p>
      <w:r>
        <w:rPr>
          <w:rFonts w:ascii="Calibri" w:hAnsi="Calibri" w:eastAsia="Microsoft YaHei"/>
          <w:b w:val="0"/>
          <w:i w:val="0"/>
        </w:rPr>
        <w:t>提供商：ib vogt GmbH或其他IBV实体</w:t>
      </w:r>
    </w:p>
    <w:p>
      <w:r>
        <w:rPr>
          <w:rFonts w:ascii="Calibri" w:hAnsi="Calibri" w:eastAsia="Microsoft YaHei"/>
          <w:b w:val="0"/>
          <w:i w:val="0"/>
        </w:rPr>
        <w:t>合同价格和期限：187万美元/年（9,500美元/MWp），基于2022年价格，每年调整1%</w:t>
      </w:r>
    </w:p>
    <w:p>
      <w:r>
        <w:rPr>
          <w:rFonts w:ascii="Calibri" w:hAnsi="Calibri" w:eastAsia="Microsoft YaHei"/>
          <w:b w:val="0"/>
          <w:i w:val="0"/>
        </w:rPr>
        <w:t>初始O&amp;M合同期限为自PAC日期起5年</w:t>
      </w:r>
    </w:p>
    <w:p>
      <w:r>
        <w:br w:type="page"/>
      </w:r>
    </w:p>
    <w:p>
      <w:pPr>
        <w:pStyle w:val="Heading1"/>
      </w:pPr>
      <w:r>
        <w:rPr>
          <w:rFonts w:ascii="Calibri" w:hAnsi="Calibri" w:eastAsia="Microsoft YaHei"/>
        </w:rPr>
        <w:t>5. 融资</w:t>
      </w:r>
    </w:p>
    <w:p>
      <w:pPr>
        <w:pStyle w:val="Heading2"/>
      </w:pPr>
      <w:r>
        <w:rPr>
          <w:rFonts w:ascii="Calibri" w:hAnsi="Calibri" w:eastAsia="Microsoft YaHei"/>
        </w:rPr>
        <w:t>融资</w:t>
      </w:r>
    </w:p>
    <w:p>
      <w:r>
        <w:rPr>
          <w:rFonts w:ascii="Calibri" w:hAnsi="Calibri" w:eastAsia="Microsoft YaHei"/>
          <w:b w:val="0"/>
          <w:i w:val="0"/>
        </w:rPr>
        <w:t>Atlantico目前正在为赞助商提供债务结构方面的建议。为此，我们正在与不同的贷方进行比选流程，以期为项目提供融资，旨在为潜在候选人提供潜在债务交易结构的强烈观点，并希望在交易关闭前暂定确保融资。</w:t>
      </w:r>
    </w:p>
    <w:p>
      <w:r>
        <w:rPr>
          <w:rFonts w:ascii="Calibri" w:hAnsi="Calibri" w:eastAsia="Microsoft YaHei"/>
          <w:b w:val="0"/>
          <w:i w:val="0"/>
        </w:rPr>
        <w:t>有浓厚的兴趣从债务方为项目提供长期项目融资。这种兴趣来自DFI、当地贷方和国际贷方。Atlantico正在管理各种融资结构：</w:t>
      </w:r>
    </w:p>
    <w:p>
      <w:r>
        <w:rPr>
          <w:rFonts w:ascii="Calibri" w:hAnsi="Calibri" w:eastAsia="Microsoft YaHei"/>
          <w:b w:val="0"/>
          <w:i w:val="0"/>
        </w:rPr>
        <w:t>• PPA整个期限内的定期贷款</w:t>
      </w:r>
    </w:p>
    <w:p>
      <w:r>
        <w:rPr>
          <w:rFonts w:ascii="Calibri" w:hAnsi="Calibri" w:eastAsia="Microsoft YaHei"/>
          <w:b w:val="0"/>
          <w:i w:val="0"/>
        </w:rPr>
        <w:t>• 隐含债务概况相当于PPA期限的Mini Perm结构</w:t>
      </w:r>
    </w:p>
    <w:p>
      <w:r>
        <w:rPr>
          <w:rFonts w:ascii="Calibri" w:hAnsi="Calibri" w:eastAsia="Microsoft YaHei"/>
          <w:b w:val="0"/>
          <w:i w:val="0"/>
        </w:rPr>
        <w:t>• 过渡到本地债券的过桥贷款（一次性偿还）</w:t>
      </w:r>
    </w:p>
    <w:p>
      <w:r>
        <w:rPr>
          <w:rFonts w:ascii="Calibri" w:hAnsi="Calibri" w:eastAsia="Microsoft YaHei"/>
          <w:b w:val="0"/>
          <w:i w:val="0"/>
        </w:rPr>
        <w:t>• 高级和次级债务的组合</w:t>
      </w:r>
    </w:p>
    <w:p>
      <w:r>
        <w:rPr>
          <w:rFonts w:ascii="Calibri" w:hAnsi="Calibri" w:eastAsia="Microsoft YaHei"/>
          <w:b w:val="0"/>
          <w:i w:val="0"/>
        </w:rPr>
        <w:t>目前已收到8份指示性条款清单。</w:t>
      </w:r>
    </w:p>
    <w:p>
      <w:r>
        <w:rPr>
          <w:rFonts w:ascii="Calibri" w:hAnsi="Calibri" w:eastAsia="Microsoft YaHei"/>
          <w:b w:val="0"/>
          <w:i w:val="0"/>
        </w:rPr>
        <w:t>潜在结构：</w:t>
      </w:r>
    </w:p>
    <w:p>
      <w:r>
        <w:rPr>
          <w:rFonts w:ascii="Calibri" w:hAnsi="Calibri" w:eastAsia="Microsoft YaHei"/>
          <w:b w:val="0"/>
          <w:i w:val="0"/>
        </w:rPr>
        <w:t>• 定期贷款：PPA整个期限，有轻微尾部（0-24个月）</w:t>
      </w:r>
    </w:p>
    <w:p>
      <w:r>
        <w:rPr>
          <w:rFonts w:ascii="Calibri" w:hAnsi="Calibri" w:eastAsia="Microsoft YaHei"/>
          <w:b w:val="0"/>
          <w:i w:val="0"/>
        </w:rPr>
        <w:t>• Mini Perm：首选（俱乐部交易结构），5至7年，可提供过渡到债券的桥梁</w:t>
      </w:r>
    </w:p>
    <w:p>
      <w:r>
        <w:rPr>
          <w:rFonts w:ascii="Calibri" w:hAnsi="Calibri" w:eastAsia="Microsoft YaHei"/>
          <w:b w:val="0"/>
          <w:i w:val="0"/>
        </w:rPr>
        <w:t>• PPA债务概况（无尾部）：PPA整个期限</w:t>
      </w:r>
    </w:p>
    <w:p>
      <w:r>
        <w:br w:type="page"/>
      </w:r>
    </w:p>
    <w:p>
      <w:pPr>
        <w:pStyle w:val="Heading1"/>
      </w:pPr>
      <w:r>
        <w:rPr>
          <w:rFonts w:ascii="Calibri" w:hAnsi="Calibri" w:eastAsia="Microsoft YaHei"/>
        </w:rPr>
        <w:t>6. 财务概况</w:t>
      </w:r>
    </w:p>
    <w:p>
      <w:pPr>
        <w:pStyle w:val="Heading2"/>
      </w:pPr>
      <w:r>
        <w:rPr>
          <w:rFonts w:ascii="Calibri" w:hAnsi="Calibri" w:eastAsia="Microsoft YaHei"/>
        </w:rPr>
        <w:t>财务模型假设</w:t>
      </w:r>
    </w:p>
    <w:p>
      <w:r>
        <w:rPr>
          <w:rFonts w:ascii="Calibri" w:hAnsi="Calibri" w:eastAsia="Microsoft YaHei"/>
          <w:b w:val="0"/>
          <w:i w:val="0"/>
        </w:rPr>
        <w:t>一般假设：</w:t>
      </w:r>
    </w:p>
    <w:p>
      <w:r>
        <w:rPr>
          <w:rFonts w:ascii="Calibri" w:hAnsi="Calibri" w:eastAsia="Microsoft YaHei"/>
          <w:b w:val="0"/>
          <w:i w:val="0"/>
        </w:rPr>
        <w:t>• 美国和多米尼加的通胀来自国际货币基金组织数据库和牛津经济学</w:t>
      </w:r>
    </w:p>
    <w:p>
      <w:r>
        <w:rPr>
          <w:rFonts w:ascii="Calibri" w:hAnsi="Calibri" w:eastAsia="Microsoft YaHei"/>
          <w:b w:val="0"/>
          <w:i w:val="0"/>
        </w:rPr>
        <w:t>• 3个月Libor利率来自Capital IQ，然后按美国通胀递增</w:t>
      </w:r>
    </w:p>
    <w:p>
      <w:r>
        <w:rPr>
          <w:rFonts w:ascii="Calibri" w:hAnsi="Calibri" w:eastAsia="Microsoft YaHei"/>
          <w:b w:val="0"/>
          <w:i w:val="0"/>
        </w:rPr>
        <w:t>• 项目使用寿命为35年</w:t>
      </w:r>
    </w:p>
    <w:p>
      <w:r>
        <w:rPr>
          <w:rFonts w:ascii="Calibri" w:hAnsi="Calibri" w:eastAsia="Microsoft YaHei"/>
          <w:b w:val="0"/>
          <w:i w:val="0"/>
        </w:rPr>
        <w:t>收入假设：</w:t>
      </w:r>
    </w:p>
    <w:p>
      <w:r>
        <w:rPr>
          <w:rFonts w:ascii="Calibri" w:hAnsi="Calibri" w:eastAsia="Microsoft YaHei"/>
          <w:b w:val="0"/>
          <w:i w:val="0"/>
        </w:rPr>
        <w:t>• 发电量：1,851 kWh/kWp。假设平均净容量因子为21.1%，年衰减系数为0.25%，可用系数为99.7%，项目整个使用寿命期间无弃电</w:t>
      </w:r>
    </w:p>
    <w:p>
      <w:r>
        <w:rPr>
          <w:rFonts w:ascii="Calibri" w:hAnsi="Calibri" w:eastAsia="Microsoft YaHei"/>
          <w:b w:val="0"/>
          <w:i w:val="0"/>
        </w:rPr>
        <w:t>• 模型假设100%由EDESUR消费和调度的能源按照PPA合同定义进行销售。之后，能源在现货市场出售，2039年起始价格为70美元/MWh，按美国通胀调整</w:t>
      </w:r>
    </w:p>
    <w:p>
      <w:r>
        <w:rPr>
          <w:rFonts w:ascii="Calibri" w:hAnsi="Calibri" w:eastAsia="Microsoft YaHei"/>
          <w:b w:val="0"/>
          <w:i w:val="0"/>
        </w:rPr>
        <w:t>O&amp;M费用和支出：</w:t>
      </w:r>
    </w:p>
    <w:p>
      <w:r>
        <w:rPr>
          <w:rFonts w:ascii="Calibri" w:hAnsi="Calibri" w:eastAsia="Microsoft YaHei"/>
          <w:b w:val="0"/>
          <w:i w:val="0"/>
        </w:rPr>
        <w:t>• O&amp;M费用基于首5年每MWp 9,500美元的费率（假设自动续期5年）</w:t>
      </w:r>
    </w:p>
    <w:p>
      <w:r>
        <w:rPr>
          <w:rFonts w:ascii="Calibri" w:hAnsi="Calibri" w:eastAsia="Microsoft YaHei"/>
          <w:b w:val="0"/>
          <w:i w:val="0"/>
        </w:rPr>
        <w:t>• 从第11年开始，费率降至每MWp 7,000美元</w:t>
      </w:r>
    </w:p>
    <w:p>
      <w:r>
        <w:rPr>
          <w:rFonts w:ascii="Calibri" w:hAnsi="Calibri" w:eastAsia="Microsoft YaHei"/>
          <w:b w:val="0"/>
          <w:i w:val="0"/>
        </w:rPr>
        <w:t>土地租赁费：</w:t>
      </w:r>
    </w:p>
    <w:p>
      <w:r>
        <w:rPr>
          <w:rFonts w:ascii="Calibri" w:hAnsi="Calibri" w:eastAsia="Microsoft YaHei"/>
          <w:b w:val="0"/>
          <w:i w:val="0"/>
        </w:rPr>
        <w:t>• 基于每MWp每月9,150美元</w:t>
      </w:r>
    </w:p>
    <w:p>
      <w:r>
        <w:rPr>
          <w:rFonts w:ascii="Calibri" w:hAnsi="Calibri" w:eastAsia="Microsoft YaHei"/>
          <w:b w:val="0"/>
          <w:i w:val="0"/>
        </w:rPr>
        <w:t>• 建设期间土地租赁费限制为常规土地租赁费的35%</w:t>
      </w:r>
    </w:p>
    <w:p>
      <w:r>
        <w:rPr>
          <w:rFonts w:ascii="Calibri" w:hAnsi="Calibri" w:eastAsia="Microsoft YaHei"/>
          <w:b w:val="0"/>
          <w:i w:val="0"/>
        </w:rPr>
        <w:t>• 从COD开始，一次性支付每MWp 5,625美元</w:t>
      </w:r>
    </w:p>
    <w:p>
      <w:pPr>
        <w:pStyle w:val="Heading2"/>
      </w:pPr>
      <w:r>
        <w:rPr>
          <w:rFonts w:ascii="Calibri" w:hAnsi="Calibri" w:eastAsia="Microsoft YaHei"/>
        </w:rPr>
        <w:t>主要财务数据（百万美元）</w:t>
      </w:r>
    </w:p>
    <w:p>
      <w:r>
        <w:rPr>
          <w:rFonts w:ascii="Calibri" w:hAnsi="Calibri" w:eastAsia="Microsoft YaHei"/>
          <w:b w:val="0"/>
          <w:i w:val="0"/>
        </w:rPr>
        <w:t>收入预测：</w:t>
      </w:r>
    </w:p>
    <w:p>
      <w:r>
        <w:rPr>
          <w:rFonts w:ascii="Calibri" w:hAnsi="Calibri" w:eastAsia="Microsoft YaHei"/>
          <w:b w:val="0"/>
          <w:i w:val="0"/>
        </w:rPr>
        <w:t>2024E: 1.542亿千瓦时 (5个月)</w:t>
      </w:r>
    </w:p>
    <w:p>
      <w:r>
        <w:rPr>
          <w:rFonts w:ascii="Calibri" w:hAnsi="Calibri" w:eastAsia="Microsoft YaHei"/>
          <w:b w:val="0"/>
          <w:i w:val="0"/>
        </w:rPr>
        <w:t>2025E: 3.687亿千瓦时（全年）</w:t>
      </w:r>
    </w:p>
    <w:p>
      <w:r>
        <w:rPr>
          <w:rFonts w:ascii="Calibri" w:hAnsi="Calibri" w:eastAsia="Microsoft YaHei"/>
          <w:b w:val="0"/>
          <w:i w:val="0"/>
        </w:rPr>
        <w:t>2025E收入：3,410万美元</w:t>
      </w:r>
    </w:p>
    <w:p>
      <w:r>
        <w:rPr>
          <w:rFonts w:ascii="Calibri" w:hAnsi="Calibri" w:eastAsia="Microsoft YaHei"/>
          <w:b w:val="0"/>
          <w:i w:val="0"/>
        </w:rPr>
        <w:t>2039E PPA收入：1,920万美元</w:t>
      </w:r>
    </w:p>
    <w:p>
      <w:r>
        <w:rPr>
          <w:rFonts w:ascii="Calibri" w:hAnsi="Calibri" w:eastAsia="Microsoft YaHei"/>
          <w:b w:val="0"/>
          <w:i w:val="0"/>
        </w:rPr>
        <w:t>2039E现货收入：1,460万美元</w:t>
      </w:r>
    </w:p>
    <w:p>
      <w:r>
        <w:rPr>
          <w:rFonts w:ascii="Calibri" w:hAnsi="Calibri" w:eastAsia="Microsoft YaHei"/>
          <w:b w:val="0"/>
          <w:i w:val="0"/>
        </w:rPr>
        <w:t>EBITDA和EBITDA利润率：</w:t>
      </w:r>
    </w:p>
    <w:p>
      <w:r>
        <w:rPr>
          <w:rFonts w:ascii="Calibri" w:hAnsi="Calibri" w:eastAsia="Microsoft YaHei"/>
          <w:b w:val="0"/>
          <w:i w:val="0"/>
        </w:rPr>
        <w:t>2024E: 1,230万美元 (82.8%)</w:t>
      </w:r>
    </w:p>
    <w:p>
      <w:r>
        <w:rPr>
          <w:rFonts w:ascii="Calibri" w:hAnsi="Calibri" w:eastAsia="Microsoft YaHei"/>
          <w:b w:val="0"/>
          <w:i w:val="0"/>
        </w:rPr>
        <w:t>2025E: 2,890万美元 (82.7%)</w:t>
      </w:r>
    </w:p>
    <w:p>
      <w:r>
        <w:rPr>
          <w:rFonts w:ascii="Calibri" w:hAnsi="Calibri" w:eastAsia="Microsoft YaHei"/>
          <w:b w:val="0"/>
          <w:i w:val="0"/>
        </w:rPr>
        <w:t>2030E: 2,790万美元 (81.1%)</w:t>
      </w:r>
    </w:p>
    <w:p>
      <w:r>
        <w:rPr>
          <w:rFonts w:ascii="Calibri" w:hAnsi="Calibri" w:eastAsia="Microsoft YaHei"/>
          <w:b w:val="0"/>
          <w:i w:val="0"/>
        </w:rPr>
        <w:t>债务情况：</w:t>
      </w:r>
    </w:p>
    <w:p>
      <w:r>
        <w:rPr>
          <w:rFonts w:ascii="Calibri" w:hAnsi="Calibri" w:eastAsia="Microsoft YaHei"/>
          <w:b w:val="0"/>
          <w:i w:val="0"/>
        </w:rPr>
        <w:t>基础案例债务：Mini Perm结构，隐含债务期限为整个PPA期限</w:t>
      </w:r>
    </w:p>
    <w:p>
      <w:r>
        <w:rPr>
          <w:rFonts w:ascii="Calibri" w:hAnsi="Calibri" w:eastAsia="Microsoft YaHei"/>
          <w:b w:val="0"/>
          <w:i w:val="0"/>
        </w:rPr>
        <w:t>杠杆率：债务/股权 = 80/20</w:t>
      </w:r>
    </w:p>
    <w:p>
      <w:r>
        <w:rPr>
          <w:rFonts w:ascii="Calibri" w:hAnsi="Calibri" w:eastAsia="Microsoft YaHei"/>
          <w:b w:val="0"/>
          <w:i w:val="0"/>
        </w:rPr>
        <w:t>债务金额：1.838亿美元</w:t>
      </w:r>
    </w:p>
    <w:p>
      <w:r>
        <w:rPr>
          <w:rFonts w:ascii="Calibri" w:hAnsi="Calibri" w:eastAsia="Microsoft YaHei"/>
          <w:b w:val="0"/>
          <w:i w:val="0"/>
        </w:rPr>
        <w:t>参考利率：2.75%</w:t>
      </w:r>
    </w:p>
    <w:p>
      <w:r>
        <w:rPr>
          <w:rFonts w:ascii="Calibri" w:hAnsi="Calibri" w:eastAsia="Microsoft YaHei"/>
          <w:b w:val="0"/>
          <w:i w:val="0"/>
        </w:rPr>
        <w:t>信用利差：400个基点</w:t>
      </w:r>
    </w:p>
    <w:p>
      <w:r>
        <w:rPr>
          <w:rFonts w:ascii="Calibri" w:hAnsi="Calibri" w:eastAsia="Microsoft YaHei"/>
          <w:b w:val="0"/>
          <w:i w:val="0"/>
        </w:rPr>
        <w:t>DSCR：1.30倍（PPA期间）</w:t>
      </w:r>
    </w:p>
    <w:p>
      <w:r>
        <w:br w:type="page"/>
      </w:r>
    </w:p>
    <w:p>
      <w:pPr>
        <w:pStyle w:val="Heading1"/>
      </w:pPr>
      <w:r>
        <w:rPr>
          <w:rFonts w:ascii="Calibri" w:hAnsi="Calibri" w:eastAsia="Microsoft YaHei"/>
        </w:rPr>
        <w:t>7. 附录</w:t>
      </w:r>
    </w:p>
    <w:p>
      <w:pPr>
        <w:pStyle w:val="Heading2"/>
      </w:pPr>
      <w:r>
        <w:rPr>
          <w:rFonts w:ascii="Calibri" w:hAnsi="Calibri" w:eastAsia="Microsoft YaHei"/>
        </w:rPr>
        <w:t>7.1 财务信息</w:t>
      </w:r>
    </w:p>
    <w:p>
      <w:r>
        <w:rPr>
          <w:rFonts w:ascii="Calibri" w:hAnsi="Calibri" w:eastAsia="Microsoft YaHei"/>
          <w:b w:val="0"/>
          <w:i w:val="0"/>
        </w:rPr>
        <w:t>损益表（百万美元）</w:t>
      </w:r>
    </w:p>
    <w:tbl>
      <w:tblPr>
        <w:tblStyle w:val="TableGrid"/>
        <w:tblW w:type="auto" w:w="0"/>
        <w:tblLook w:firstColumn="1" w:firstRow="1" w:lastColumn="0" w:lastRow="0" w:noHBand="0" w:noVBand="1" w:val="04A0"/>
      </w:tblPr>
      <w:tblGrid>
        <w:gridCol w:w="864"/>
        <w:gridCol w:w="864"/>
        <w:gridCol w:w="864"/>
        <w:gridCol w:w="864"/>
        <w:gridCol w:w="864"/>
        <w:gridCol w:w="864"/>
        <w:gridCol w:w="864"/>
        <w:gridCol w:w="864"/>
        <w:gridCol w:w="864"/>
        <w:gridCol w:w="864"/>
      </w:tblGrid>
      <w:tr>
        <w:tc>
          <w:tcPr>
            <w:tcW w:type="dxa" w:w="864"/>
          </w:tcPr>
          <w:p>
            <w:r>
              <w:t>P&amp;L 百万美元</w:t>
            </w:r>
          </w:p>
        </w:tc>
        <w:tc>
          <w:tcPr>
            <w:tcW w:type="dxa" w:w="864"/>
          </w:tcPr>
          <w:p>
            <w:r>
              <w:t>2022E</w:t>
            </w:r>
          </w:p>
        </w:tc>
        <w:tc>
          <w:tcPr>
            <w:tcW w:type="dxa" w:w="864"/>
          </w:tcPr>
          <w:p>
            <w:r>
              <w:t>2023E</w:t>
            </w:r>
          </w:p>
        </w:tc>
        <w:tc>
          <w:tcPr>
            <w:tcW w:type="dxa" w:w="864"/>
          </w:tcPr>
          <w:p>
            <w:r>
              <w:t>2024E</w:t>
            </w:r>
          </w:p>
        </w:tc>
        <w:tc>
          <w:tcPr>
            <w:tcW w:type="dxa" w:w="864"/>
          </w:tcPr>
          <w:p>
            <w:r>
              <w:t>2025E</w:t>
            </w:r>
          </w:p>
        </w:tc>
        <w:tc>
          <w:tcPr>
            <w:tcW w:type="dxa" w:w="864"/>
          </w:tcPr>
          <w:p>
            <w:r>
              <w:t>2026E</w:t>
            </w:r>
          </w:p>
        </w:tc>
        <w:tc>
          <w:tcPr>
            <w:tcW w:type="dxa" w:w="864"/>
          </w:tcPr>
          <w:p>
            <w:r>
              <w:t>2027E</w:t>
            </w:r>
          </w:p>
        </w:tc>
        <w:tc>
          <w:tcPr>
            <w:tcW w:type="dxa" w:w="864"/>
          </w:tcPr>
          <w:p>
            <w:r>
              <w:t>2028E</w:t>
            </w:r>
          </w:p>
        </w:tc>
        <w:tc>
          <w:tcPr>
            <w:tcW w:type="dxa" w:w="864"/>
          </w:tcPr>
          <w:p>
            <w:r>
              <w:t>2029E</w:t>
            </w:r>
          </w:p>
        </w:tc>
        <w:tc>
          <w:tcPr>
            <w:tcW w:type="dxa" w:w="864"/>
          </w:tcPr>
          <w:p>
            <w:r>
              <w:t>2030E</w:t>
            </w:r>
          </w:p>
        </w:tc>
      </w:tr>
      <w:tr>
        <w:tc>
          <w:tcPr>
            <w:tcW w:type="dxa" w:w="864"/>
          </w:tcPr>
          <w:p>
            <w:r>
              <w:t>PPA收入</w:t>
            </w:r>
          </w:p>
        </w:tc>
        <w:tc>
          <w:tcPr>
            <w:tcW w:type="dxa" w:w="864"/>
          </w:tcPr>
          <w:p>
            <w:r>
              <w:t>0.0</w:t>
            </w:r>
          </w:p>
        </w:tc>
        <w:tc>
          <w:tcPr>
            <w:tcW w:type="dxa" w:w="864"/>
          </w:tcPr>
          <w:p>
            <w:r>
              <w:t>0.0</w:t>
            </w:r>
          </w:p>
        </w:tc>
        <w:tc>
          <w:tcPr>
            <w:tcW w:type="dxa" w:w="864"/>
          </w:tcPr>
          <w:p>
            <w:r>
              <w:t>14.2</w:t>
            </w:r>
          </w:p>
        </w:tc>
        <w:tc>
          <w:tcPr>
            <w:tcW w:type="dxa" w:w="864"/>
          </w:tcPr>
          <w:p>
            <w:r>
              <w:t>34.1</w:t>
            </w:r>
          </w:p>
        </w:tc>
        <w:tc>
          <w:tcPr>
            <w:tcW w:type="dxa" w:w="864"/>
          </w:tcPr>
          <w:p>
            <w:r>
              <w:t>34.1</w:t>
            </w:r>
          </w:p>
        </w:tc>
        <w:tc>
          <w:tcPr>
            <w:tcW w:type="dxa" w:w="864"/>
          </w:tcPr>
          <w:p>
            <w:r>
              <w:t>34.1</w:t>
            </w:r>
          </w:p>
        </w:tc>
        <w:tc>
          <w:tcPr>
            <w:tcW w:type="dxa" w:w="864"/>
          </w:tcPr>
          <w:p>
            <w:r>
              <w:t>34.1</w:t>
            </w:r>
          </w:p>
        </w:tc>
        <w:tc>
          <w:tcPr>
            <w:tcW w:type="dxa" w:w="864"/>
          </w:tcPr>
          <w:p>
            <w:r>
              <w:t>34.0</w:t>
            </w:r>
          </w:p>
        </w:tc>
        <w:tc>
          <w:tcPr>
            <w:tcW w:type="dxa" w:w="864"/>
          </w:tcPr>
          <w:p>
            <w:r>
              <w:t>33.9</w:t>
            </w:r>
          </w:p>
        </w:tc>
      </w:tr>
      <w:tr>
        <w:tc>
          <w:tcPr>
            <w:tcW w:type="dxa" w:w="864"/>
          </w:tcPr>
          <w:p>
            <w:r>
              <w:t>现货收入</w:t>
            </w:r>
          </w:p>
        </w:tc>
        <w:tc>
          <w:tcPr>
            <w:tcW w:type="dxa" w:w="864"/>
          </w:tcPr>
          <w:p>
            <w:r>
              <w:t>0.0</w:t>
            </w:r>
          </w:p>
        </w:tc>
        <w:tc>
          <w:tcPr>
            <w:tcW w:type="dxa" w:w="864"/>
          </w:tcPr>
          <w:p>
            <w:r>
              <w:t>0.0</w:t>
            </w:r>
          </w:p>
        </w:tc>
        <w:tc>
          <w:tcPr>
            <w:tcW w:type="dxa" w:w="864"/>
          </w:tcPr>
          <w:p>
            <w:r>
              <w:t>0.0</w:t>
            </w:r>
          </w:p>
        </w:tc>
        <w:tc>
          <w:tcPr>
            <w:tcW w:type="dxa" w:w="864"/>
          </w:tcPr>
          <w:p>
            <w:r>
              <w:t>0.0</w:t>
            </w:r>
          </w:p>
        </w:tc>
        <w:tc>
          <w:tcPr>
            <w:tcW w:type="dxa" w:w="864"/>
          </w:tcPr>
          <w:p>
            <w:r>
              <w:t>0.0</w:t>
            </w:r>
          </w:p>
        </w:tc>
        <w:tc>
          <w:tcPr>
            <w:tcW w:type="dxa" w:w="864"/>
          </w:tcPr>
          <w:p>
            <w:r>
              <w:t>0.0</w:t>
            </w:r>
          </w:p>
        </w:tc>
        <w:tc>
          <w:tcPr>
            <w:tcW w:type="dxa" w:w="864"/>
          </w:tcPr>
          <w:p>
            <w:r>
              <w:t>0.0</w:t>
            </w:r>
          </w:p>
        </w:tc>
        <w:tc>
          <w:tcPr>
            <w:tcW w:type="dxa" w:w="864"/>
          </w:tcPr>
          <w:p>
            <w:r>
              <w:t>0.0</w:t>
            </w:r>
          </w:p>
        </w:tc>
        <w:tc>
          <w:tcPr>
            <w:tcW w:type="dxa" w:w="864"/>
          </w:tcPr>
          <w:p>
            <w:r>
              <w:t>0.0</w:t>
            </w:r>
          </w:p>
        </w:tc>
      </w:tr>
      <w:tr>
        <w:tc>
          <w:tcPr>
            <w:tcW w:type="dxa" w:w="864"/>
          </w:tcPr>
          <w:p>
            <w:r>
              <w:t>总收入</w:t>
            </w:r>
          </w:p>
        </w:tc>
        <w:tc>
          <w:tcPr>
            <w:tcW w:type="dxa" w:w="864"/>
          </w:tcPr>
          <w:p>
            <w:r>
              <w:t>0.0</w:t>
            </w:r>
          </w:p>
        </w:tc>
        <w:tc>
          <w:tcPr>
            <w:tcW w:type="dxa" w:w="864"/>
          </w:tcPr>
          <w:p>
            <w:r>
              <w:t>0.0</w:t>
            </w:r>
          </w:p>
        </w:tc>
        <w:tc>
          <w:tcPr>
            <w:tcW w:type="dxa" w:w="864"/>
          </w:tcPr>
          <w:p>
            <w:r>
              <w:t>14.2</w:t>
            </w:r>
          </w:p>
        </w:tc>
        <w:tc>
          <w:tcPr>
            <w:tcW w:type="dxa" w:w="864"/>
          </w:tcPr>
          <w:p>
            <w:r>
              <w:t>34.1</w:t>
            </w:r>
          </w:p>
        </w:tc>
        <w:tc>
          <w:tcPr>
            <w:tcW w:type="dxa" w:w="864"/>
          </w:tcPr>
          <w:p>
            <w:r>
              <w:t>34.1</w:t>
            </w:r>
          </w:p>
        </w:tc>
        <w:tc>
          <w:tcPr>
            <w:tcW w:type="dxa" w:w="864"/>
          </w:tcPr>
          <w:p>
            <w:r>
              <w:t>34.1</w:t>
            </w:r>
          </w:p>
        </w:tc>
        <w:tc>
          <w:tcPr>
            <w:tcW w:type="dxa" w:w="864"/>
          </w:tcPr>
          <w:p>
            <w:r>
              <w:t>34.1</w:t>
            </w:r>
          </w:p>
        </w:tc>
        <w:tc>
          <w:tcPr>
            <w:tcW w:type="dxa" w:w="864"/>
          </w:tcPr>
          <w:p>
            <w:r>
              <w:t>34.0</w:t>
            </w:r>
          </w:p>
        </w:tc>
        <w:tc>
          <w:tcPr>
            <w:tcW w:type="dxa" w:w="864"/>
          </w:tcPr>
          <w:p>
            <w:r>
              <w:t>33.9</w:t>
            </w:r>
          </w:p>
        </w:tc>
      </w:tr>
      <w:tr>
        <w:tc>
          <w:tcPr>
            <w:tcW w:type="dxa" w:w="864"/>
          </w:tcPr>
          <w:p>
            <w:r>
              <w:t>监管费用</w:t>
            </w:r>
          </w:p>
        </w:tc>
        <w:tc>
          <w:tcPr>
            <w:tcW w:type="dxa" w:w="864"/>
          </w:tcPr>
          <w:p>
            <w:r>
              <w:t>0.0</w:t>
            </w:r>
          </w:p>
        </w:tc>
        <w:tc>
          <w:tcPr>
            <w:tcW w:type="dxa" w:w="864"/>
          </w:tcPr>
          <w:p>
            <w:r>
              <w:t>0.0</w:t>
            </w:r>
          </w:p>
        </w:tc>
        <w:tc>
          <w:tcPr>
            <w:tcW w:type="dxa" w:w="864"/>
          </w:tcPr>
          <w:p>
            <w:r>
              <w:t>-0.2</w:t>
            </w:r>
          </w:p>
        </w:tc>
        <w:tc>
          <w:tcPr>
            <w:tcW w:type="dxa" w:w="864"/>
          </w:tcPr>
          <w:p>
            <w:r>
              <w:t>-0.4</w:t>
            </w:r>
          </w:p>
        </w:tc>
        <w:tc>
          <w:tcPr>
            <w:tcW w:type="dxa" w:w="864"/>
          </w:tcPr>
          <w:p>
            <w:r>
              <w:t>-0.4</w:t>
            </w:r>
          </w:p>
        </w:tc>
        <w:tc>
          <w:tcPr>
            <w:tcW w:type="dxa" w:w="864"/>
          </w:tcPr>
          <w:p>
            <w:r>
              <w:t>-0.4</w:t>
            </w:r>
          </w:p>
        </w:tc>
        <w:tc>
          <w:tcPr>
            <w:tcW w:type="dxa" w:w="864"/>
          </w:tcPr>
          <w:p>
            <w:r>
              <w:t>-0.4</w:t>
            </w:r>
          </w:p>
        </w:tc>
        <w:tc>
          <w:tcPr>
            <w:tcW w:type="dxa" w:w="864"/>
          </w:tcPr>
          <w:p>
            <w:r>
              <w:t>-0.4</w:t>
            </w:r>
          </w:p>
        </w:tc>
        <w:tc>
          <w:tcPr>
            <w:tcW w:type="dxa" w:w="864"/>
          </w:tcPr>
          <w:p>
            <w:r>
              <w:t>-0.4</w:t>
            </w:r>
          </w:p>
        </w:tc>
      </w:tr>
      <w:tr>
        <w:tc>
          <w:tcPr>
            <w:tcW w:type="dxa" w:w="864"/>
          </w:tcPr>
          <w:p>
            <w:r>
              <w:t>毛利润</w:t>
            </w:r>
          </w:p>
        </w:tc>
        <w:tc>
          <w:tcPr>
            <w:tcW w:type="dxa" w:w="864"/>
          </w:tcPr>
          <w:p>
            <w:r>
              <w:t>0.0</w:t>
            </w:r>
          </w:p>
        </w:tc>
        <w:tc>
          <w:tcPr>
            <w:tcW w:type="dxa" w:w="864"/>
          </w:tcPr>
          <w:p>
            <w:r>
              <w:t>0.0</w:t>
            </w:r>
          </w:p>
        </w:tc>
        <w:tc>
          <w:tcPr>
            <w:tcW w:type="dxa" w:w="864"/>
          </w:tcPr>
          <w:p>
            <w:r>
              <w:t>14.1</w:t>
            </w:r>
          </w:p>
        </w:tc>
        <w:tc>
          <w:tcPr>
            <w:tcW w:type="dxa" w:w="864"/>
          </w:tcPr>
          <w:p>
            <w:r>
              <w:t>33.7</w:t>
            </w:r>
          </w:p>
        </w:tc>
        <w:tc>
          <w:tcPr>
            <w:tcW w:type="dxa" w:w="864"/>
          </w:tcPr>
          <w:p>
            <w:r>
              <w:t>33.7</w:t>
            </w:r>
          </w:p>
        </w:tc>
        <w:tc>
          <w:tcPr>
            <w:tcW w:type="dxa" w:w="864"/>
          </w:tcPr>
          <w:p>
            <w:r>
              <w:t>33.7</w:t>
            </w:r>
          </w:p>
        </w:tc>
        <w:tc>
          <w:tcPr>
            <w:tcW w:type="dxa" w:w="864"/>
          </w:tcPr>
          <w:p>
            <w:r>
              <w:t>33.7</w:t>
            </w:r>
          </w:p>
        </w:tc>
        <w:tc>
          <w:tcPr>
            <w:tcW w:type="dxa" w:w="864"/>
          </w:tcPr>
          <w:p>
            <w:r>
              <w:t>33.6</w:t>
            </w:r>
          </w:p>
        </w:tc>
        <w:tc>
          <w:tcPr>
            <w:tcW w:type="dxa" w:w="864"/>
          </w:tcPr>
          <w:p>
            <w:r>
              <w:t>33.5</w:t>
            </w:r>
          </w:p>
        </w:tc>
      </w:tr>
      <w:tr>
        <w:tc>
          <w:tcPr>
            <w:tcW w:type="dxa" w:w="864"/>
          </w:tcPr>
          <w:p>
            <w:r>
              <w:t>毛利率</w:t>
            </w:r>
          </w:p>
        </w:tc>
        <w:tc>
          <w:tcPr>
            <w:tcW w:type="dxa" w:w="864"/>
          </w:tcPr>
          <w:p>
            <w:r>
              <w:t>0.0</w:t>
            </w:r>
          </w:p>
        </w:tc>
        <w:tc>
          <w:tcPr>
            <w:tcW w:type="dxa" w:w="864"/>
          </w:tcPr>
          <w:p>
            <w:r>
              <w:t>0.0</w:t>
            </w:r>
          </w:p>
        </w:tc>
        <w:tc>
          <w:tcPr>
            <w:tcW w:type="dxa" w:w="864"/>
          </w:tcPr>
          <w:p>
            <w:r>
              <w:t>98.9%</w:t>
            </w:r>
          </w:p>
        </w:tc>
        <w:tc>
          <w:tcPr>
            <w:tcW w:type="dxa" w:w="864"/>
          </w:tcPr>
          <w:p>
            <w:r>
              <w:t>98.9%</w:t>
            </w:r>
          </w:p>
        </w:tc>
        <w:tc>
          <w:tcPr>
            <w:tcW w:type="dxa" w:w="864"/>
          </w:tcPr>
          <w:p>
            <w:r>
              <w:t>98.9%</w:t>
            </w:r>
          </w:p>
        </w:tc>
        <w:tc>
          <w:tcPr>
            <w:tcW w:type="dxa" w:w="864"/>
          </w:tcPr>
          <w:p>
            <w:r>
              <w:t>98.9%</w:t>
            </w:r>
          </w:p>
        </w:tc>
        <w:tc>
          <w:tcPr>
            <w:tcW w:type="dxa" w:w="864"/>
          </w:tcPr>
          <w:p>
            <w:r>
              <w:t>98.9%</w:t>
            </w:r>
          </w:p>
        </w:tc>
        <w:tc>
          <w:tcPr>
            <w:tcW w:type="dxa" w:w="864"/>
          </w:tcPr>
          <w:p>
            <w:r>
              <w:t>98.9%</w:t>
            </w:r>
          </w:p>
        </w:tc>
        <w:tc>
          <w:tcPr>
            <w:tcW w:type="dxa" w:w="864"/>
          </w:tcPr>
          <w:p>
            <w:r>
              <w:t>98.9%</w:t>
            </w:r>
          </w:p>
        </w:tc>
      </w:tr>
      <w:tr>
        <w:tc>
          <w:tcPr>
            <w:tcW w:type="dxa" w:w="864"/>
          </w:tcPr>
          <w:p>
            <w:r>
              <w:t>O&amp;M费用</w:t>
            </w:r>
          </w:p>
        </w:tc>
        <w:tc>
          <w:tcPr>
            <w:tcW w:type="dxa" w:w="864"/>
          </w:tcPr>
          <w:p>
            <w:r>
              <w:t>0.0</w:t>
            </w:r>
          </w:p>
        </w:tc>
        <w:tc>
          <w:tcPr>
            <w:tcW w:type="dxa" w:w="864"/>
          </w:tcPr>
          <w:p>
            <w:r>
              <w:t>0.0</w:t>
            </w:r>
          </w:p>
        </w:tc>
        <w:tc>
          <w:tcPr>
            <w:tcW w:type="dxa" w:w="864"/>
          </w:tcPr>
          <w:p>
            <w:r>
              <w:t>-2.3</w:t>
            </w:r>
          </w:p>
        </w:tc>
        <w:tc>
          <w:tcPr>
            <w:tcW w:type="dxa" w:w="864"/>
          </w:tcPr>
          <w:p>
            <w:r>
              <w:t>-5.5</w:t>
            </w:r>
          </w:p>
        </w:tc>
        <w:tc>
          <w:tcPr>
            <w:tcW w:type="dxa" w:w="864"/>
          </w:tcPr>
          <w:p>
            <w:r>
              <w:t>-5.5</w:t>
            </w:r>
          </w:p>
        </w:tc>
        <w:tc>
          <w:tcPr>
            <w:tcW w:type="dxa" w:w="864"/>
          </w:tcPr>
          <w:p>
            <w:r>
              <w:t>-5.6</w:t>
            </w:r>
          </w:p>
        </w:tc>
        <w:tc>
          <w:tcPr>
            <w:tcW w:type="dxa" w:w="864"/>
          </w:tcPr>
          <w:p>
            <w:r>
              <w:t>-5.6</w:t>
            </w:r>
          </w:p>
        </w:tc>
        <w:tc>
          <w:tcPr>
            <w:tcW w:type="dxa" w:w="864"/>
          </w:tcPr>
          <w:p>
            <w:r>
              <w:t>-5.9</w:t>
            </w:r>
          </w:p>
        </w:tc>
        <w:tc>
          <w:tcPr>
            <w:tcW w:type="dxa" w:w="864"/>
          </w:tcPr>
          <w:p>
            <w:r>
              <w:t>-6.0</w:t>
            </w:r>
          </w:p>
        </w:tc>
      </w:tr>
      <w:tr>
        <w:tc>
          <w:tcPr>
            <w:tcW w:type="dxa" w:w="864"/>
          </w:tcPr>
          <w:p>
            <w:r>
              <w:t>EBITDA</w:t>
            </w:r>
          </w:p>
        </w:tc>
        <w:tc>
          <w:tcPr>
            <w:tcW w:type="dxa" w:w="864"/>
          </w:tcPr>
          <w:p>
            <w:r>
              <w:t>0.0</w:t>
            </w:r>
          </w:p>
        </w:tc>
        <w:tc>
          <w:tcPr>
            <w:tcW w:type="dxa" w:w="864"/>
          </w:tcPr>
          <w:p>
            <w:r>
              <w:t>0.2</w:t>
            </w:r>
          </w:p>
        </w:tc>
        <w:tc>
          <w:tcPr>
            <w:tcW w:type="dxa" w:w="864"/>
          </w:tcPr>
          <w:p>
            <w:r>
              <w:t>12.3</w:t>
            </w:r>
          </w:p>
        </w:tc>
        <w:tc>
          <w:tcPr>
            <w:tcW w:type="dxa" w:w="864"/>
          </w:tcPr>
          <w:p>
            <w:r>
              <w:t>28.9</w:t>
            </w:r>
          </w:p>
        </w:tc>
        <w:tc>
          <w:tcPr>
            <w:tcW w:type="dxa" w:w="864"/>
          </w:tcPr>
          <w:p>
            <w:r>
              <w:t>28.8</w:t>
            </w:r>
          </w:p>
        </w:tc>
        <w:tc>
          <w:tcPr>
            <w:tcW w:type="dxa" w:w="864"/>
          </w:tcPr>
          <w:p>
            <w:r>
              <w:t>28.7</w:t>
            </w:r>
          </w:p>
        </w:tc>
        <w:tc>
          <w:tcPr>
            <w:tcW w:type="dxa" w:w="864"/>
          </w:tcPr>
          <w:p>
            <w:r>
              <w:t>28.6</w:t>
            </w:r>
          </w:p>
        </w:tc>
        <w:tc>
          <w:tcPr>
            <w:tcW w:type="dxa" w:w="864"/>
          </w:tcPr>
          <w:p>
            <w:r>
              <w:t>28.2</w:t>
            </w:r>
          </w:p>
        </w:tc>
        <w:tc>
          <w:tcPr>
            <w:tcW w:type="dxa" w:w="864"/>
          </w:tcPr>
          <w:p>
            <w:r>
              <w:t>27.9</w:t>
            </w:r>
          </w:p>
        </w:tc>
      </w:tr>
      <w:tr>
        <w:tc>
          <w:tcPr>
            <w:tcW w:type="dxa" w:w="864"/>
          </w:tcPr>
          <w:p>
            <w:r>
              <w:t>EBITDA利润率</w:t>
            </w:r>
          </w:p>
        </w:tc>
        <w:tc>
          <w:tcPr>
            <w:tcW w:type="dxa" w:w="864"/>
          </w:tcPr>
          <w:p>
            <w:r>
              <w:t>0.0</w:t>
            </w:r>
          </w:p>
        </w:tc>
        <w:tc>
          <w:tcPr>
            <w:tcW w:type="dxa" w:w="864"/>
          </w:tcPr>
          <w:p>
            <w:r>
              <w:t>0.0%</w:t>
            </w:r>
          </w:p>
        </w:tc>
        <w:tc>
          <w:tcPr>
            <w:tcW w:type="dxa" w:w="864"/>
          </w:tcPr>
          <w:p>
            <w:r>
              <w:t>82.8%</w:t>
            </w:r>
          </w:p>
        </w:tc>
        <w:tc>
          <w:tcPr>
            <w:tcW w:type="dxa" w:w="864"/>
          </w:tcPr>
          <w:p>
            <w:r>
              <w:t>82.7%</w:t>
            </w:r>
          </w:p>
        </w:tc>
        <w:tc>
          <w:tcPr>
            <w:tcW w:type="dxa" w:w="864"/>
          </w:tcPr>
          <w:p>
            <w:r>
              <w:t>82.5%</w:t>
            </w:r>
          </w:p>
        </w:tc>
        <w:tc>
          <w:tcPr>
            <w:tcW w:type="dxa" w:w="864"/>
          </w:tcPr>
          <w:p>
            <w:r>
              <w:t>82.4%</w:t>
            </w:r>
          </w:p>
        </w:tc>
        <w:tc>
          <w:tcPr>
            <w:tcW w:type="dxa" w:w="864"/>
          </w:tcPr>
          <w:p>
            <w:r>
              <w:t>82.2%</w:t>
            </w:r>
          </w:p>
        </w:tc>
        <w:tc>
          <w:tcPr>
            <w:tcW w:type="dxa" w:w="864"/>
          </w:tcPr>
          <w:p>
            <w:r>
              <w:t>81.4%</w:t>
            </w:r>
          </w:p>
        </w:tc>
        <w:tc>
          <w:tcPr>
            <w:tcW w:type="dxa" w:w="864"/>
          </w:tcPr>
          <w:p>
            <w:r>
              <w:t>81.1%</w:t>
            </w:r>
          </w:p>
        </w:tc>
      </w:tr>
      <w:tr>
        <w:tc>
          <w:tcPr>
            <w:tcW w:type="dxa" w:w="864"/>
          </w:tcPr>
          <w:p>
            <w:r>
              <w:t>折旧摊销</w:t>
            </w:r>
          </w:p>
        </w:tc>
        <w:tc>
          <w:tcPr>
            <w:tcW w:type="dxa" w:w="864"/>
          </w:tcPr>
          <w:p>
            <w:r>
              <w:t>0.0</w:t>
            </w:r>
          </w:p>
        </w:tc>
        <w:tc>
          <w:tcPr>
            <w:tcW w:type="dxa" w:w="864"/>
          </w:tcPr>
          <w:p>
            <w:r>
              <w:t>0.0</w:t>
            </w:r>
          </w:p>
        </w:tc>
        <w:tc>
          <w:tcPr>
            <w:tcW w:type="dxa" w:w="864"/>
          </w:tcPr>
          <w:p>
            <w:r>
              <w:t>0.0</w:t>
            </w:r>
          </w:p>
        </w:tc>
        <w:tc>
          <w:tcPr>
            <w:tcW w:type="dxa" w:w="864"/>
          </w:tcPr>
          <w:p>
            <w:r>
              <w:t>-11.4</w:t>
            </w:r>
          </w:p>
        </w:tc>
        <w:tc>
          <w:tcPr>
            <w:tcW w:type="dxa" w:w="864"/>
          </w:tcPr>
          <w:p>
            <w:r>
              <w:t>-11.4</w:t>
            </w:r>
          </w:p>
        </w:tc>
        <w:tc>
          <w:tcPr>
            <w:tcW w:type="dxa" w:w="864"/>
          </w:tcPr>
          <w:p>
            <w:r>
              <w:t>-11.4</w:t>
            </w:r>
          </w:p>
        </w:tc>
        <w:tc>
          <w:tcPr>
            <w:tcW w:type="dxa" w:w="864"/>
          </w:tcPr>
          <w:p>
            <w:r>
              <w:t>-11.4</w:t>
            </w:r>
          </w:p>
        </w:tc>
        <w:tc>
          <w:tcPr>
            <w:tcW w:type="dxa" w:w="864"/>
          </w:tcPr>
          <w:p>
            <w:r>
              <w:t>-11.4</w:t>
            </w:r>
          </w:p>
        </w:tc>
        <w:tc>
          <w:tcPr>
            <w:tcW w:type="dxa" w:w="864"/>
          </w:tcPr>
          <w:p>
            <w:r>
              <w:t>-10.6</w:t>
            </w:r>
          </w:p>
        </w:tc>
      </w:tr>
      <w:tr>
        <w:tc>
          <w:tcPr>
            <w:tcW w:type="dxa" w:w="864"/>
          </w:tcPr>
          <w:p>
            <w:r>
              <w:t>EBIT</w:t>
            </w:r>
          </w:p>
        </w:tc>
        <w:tc>
          <w:tcPr>
            <w:tcW w:type="dxa" w:w="864"/>
          </w:tcPr>
          <w:p>
            <w:r>
              <w:t>0.0</w:t>
            </w:r>
          </w:p>
        </w:tc>
        <w:tc>
          <w:tcPr>
            <w:tcW w:type="dxa" w:w="864"/>
          </w:tcPr>
          <w:p>
            <w:r>
              <w:t>0.2</w:t>
            </w:r>
          </w:p>
        </w:tc>
        <w:tc>
          <w:tcPr>
            <w:tcW w:type="dxa" w:w="864"/>
          </w:tcPr>
          <w:p>
            <w:r>
              <w:t>12.3</w:t>
            </w:r>
          </w:p>
        </w:tc>
        <w:tc>
          <w:tcPr>
            <w:tcW w:type="dxa" w:w="864"/>
          </w:tcPr>
          <w:p>
            <w:r>
              <w:t>17.5</w:t>
            </w:r>
          </w:p>
        </w:tc>
        <w:tc>
          <w:tcPr>
            <w:tcW w:type="dxa" w:w="864"/>
          </w:tcPr>
          <w:p>
            <w:r>
              <w:t>17.4</w:t>
            </w:r>
          </w:p>
        </w:tc>
        <w:tc>
          <w:tcPr>
            <w:tcW w:type="dxa" w:w="864"/>
          </w:tcPr>
          <w:p>
            <w:r>
              <w:t>17.3</w:t>
            </w:r>
          </w:p>
        </w:tc>
        <w:tc>
          <w:tcPr>
            <w:tcW w:type="dxa" w:w="864"/>
          </w:tcPr>
          <w:p>
            <w:r>
              <w:t>17.1</w:t>
            </w:r>
          </w:p>
        </w:tc>
        <w:tc>
          <w:tcPr>
            <w:tcW w:type="dxa" w:w="864"/>
          </w:tcPr>
          <w:p>
            <w:r>
              <w:t>16.7</w:t>
            </w:r>
          </w:p>
        </w:tc>
        <w:tc>
          <w:tcPr>
            <w:tcW w:type="dxa" w:w="864"/>
          </w:tcPr>
          <w:p>
            <w:r>
              <w:t>17.3</w:t>
            </w:r>
          </w:p>
        </w:tc>
      </w:tr>
      <w:tr>
        <w:tc>
          <w:tcPr>
            <w:tcW w:type="dxa" w:w="864"/>
          </w:tcPr>
          <w:p>
            <w:r>
              <w:t>利息费用</w:t>
            </w:r>
          </w:p>
        </w:tc>
        <w:tc>
          <w:tcPr>
            <w:tcW w:type="dxa" w:w="864"/>
          </w:tcPr>
          <w:p>
            <w:r>
              <w:t>-0.3</w:t>
            </w:r>
          </w:p>
        </w:tc>
        <w:tc>
          <w:tcPr>
            <w:tcW w:type="dxa" w:w="864"/>
          </w:tcPr>
          <w:p>
            <w:r>
              <w:t>-1.4</w:t>
            </w:r>
          </w:p>
        </w:tc>
        <w:tc>
          <w:tcPr>
            <w:tcW w:type="dxa" w:w="864"/>
          </w:tcPr>
          <w:p>
            <w:r>
              <w:t>-4.4</w:t>
            </w:r>
          </w:p>
        </w:tc>
        <w:tc>
          <w:tcPr>
            <w:tcW w:type="dxa" w:w="864"/>
          </w:tcPr>
          <w:p>
            <w:r>
              <w:t>-12.4</w:t>
            </w:r>
          </w:p>
        </w:tc>
        <w:tc>
          <w:tcPr>
            <w:tcW w:type="dxa" w:w="864"/>
          </w:tcPr>
          <w:p>
            <w:r>
              <w:t>-11.8</w:t>
            </w:r>
          </w:p>
        </w:tc>
        <w:tc>
          <w:tcPr>
            <w:tcW w:type="dxa" w:w="864"/>
          </w:tcPr>
          <w:p>
            <w:r>
              <w:t>-11.1</w:t>
            </w:r>
          </w:p>
        </w:tc>
        <w:tc>
          <w:tcPr>
            <w:tcW w:type="dxa" w:w="864"/>
          </w:tcPr>
          <w:p>
            <w:r>
              <w:t>-10.4</w:t>
            </w:r>
          </w:p>
        </w:tc>
        <w:tc>
          <w:tcPr>
            <w:tcW w:type="dxa" w:w="864"/>
          </w:tcPr>
          <w:p>
            <w:r>
              <w:t>-10.9</w:t>
            </w:r>
          </w:p>
        </w:tc>
        <w:tc>
          <w:tcPr>
            <w:tcW w:type="dxa" w:w="864"/>
          </w:tcPr>
          <w:p>
            <w:r>
              <w:t>-8.8</w:t>
            </w:r>
          </w:p>
        </w:tc>
      </w:tr>
      <w:tr>
        <w:tc>
          <w:tcPr>
            <w:tcW w:type="dxa" w:w="864"/>
          </w:tcPr>
          <w:p>
            <w:r>
              <w:t>税前利润</w:t>
            </w:r>
          </w:p>
        </w:tc>
        <w:tc>
          <w:tcPr>
            <w:tcW w:type="dxa" w:w="864"/>
          </w:tcPr>
          <w:p>
            <w:r>
              <w:t>-0.4</w:t>
            </w:r>
          </w:p>
        </w:tc>
        <w:tc>
          <w:tcPr>
            <w:tcW w:type="dxa" w:w="864"/>
          </w:tcPr>
          <w:p>
            <w:r>
              <w:t>-1.5</w:t>
            </w:r>
          </w:p>
        </w:tc>
        <w:tc>
          <w:tcPr>
            <w:tcW w:type="dxa" w:w="864"/>
          </w:tcPr>
          <w:p>
            <w:r>
              <w:t>7.8</w:t>
            </w:r>
          </w:p>
        </w:tc>
        <w:tc>
          <w:tcPr>
            <w:tcW w:type="dxa" w:w="864"/>
          </w:tcPr>
          <w:p>
            <w:r>
              <w:t>5.0</w:t>
            </w:r>
          </w:p>
        </w:tc>
        <w:tc>
          <w:tcPr>
            <w:tcW w:type="dxa" w:w="864"/>
          </w:tcPr>
          <w:p>
            <w:r>
              <w:t>5.6</w:t>
            </w:r>
          </w:p>
        </w:tc>
        <w:tc>
          <w:tcPr>
            <w:tcW w:type="dxa" w:w="864"/>
          </w:tcPr>
          <w:p>
            <w:r>
              <w:t>6.2</w:t>
            </w:r>
          </w:p>
        </w:tc>
        <w:tc>
          <w:tcPr>
            <w:tcW w:type="dxa" w:w="864"/>
          </w:tcPr>
          <w:p>
            <w:r>
              <w:t>6.7</w:t>
            </w:r>
          </w:p>
        </w:tc>
        <w:tc>
          <w:tcPr>
            <w:tcW w:type="dxa" w:w="864"/>
          </w:tcPr>
          <w:p>
            <w:r>
              <w:t>5.8</w:t>
            </w:r>
          </w:p>
        </w:tc>
        <w:tc>
          <w:tcPr>
            <w:tcW w:type="dxa" w:w="864"/>
          </w:tcPr>
          <w:p>
            <w:r>
              <w:t>8.6</w:t>
            </w:r>
          </w:p>
        </w:tc>
      </w:tr>
      <w:tr>
        <w:tc>
          <w:tcPr>
            <w:tcW w:type="dxa" w:w="864"/>
          </w:tcPr>
          <w:p>
            <w:r>
              <w:t>税金</w:t>
            </w:r>
          </w:p>
        </w:tc>
        <w:tc>
          <w:tcPr>
            <w:tcW w:type="dxa" w:w="864"/>
          </w:tcPr>
          <w:p>
            <w:r>
              <w:t>0.0</w:t>
            </w:r>
          </w:p>
        </w:tc>
        <w:tc>
          <w:tcPr>
            <w:tcW w:type="dxa" w:w="864"/>
          </w:tcPr>
          <w:p>
            <w:r>
              <w:t>0.0</w:t>
            </w:r>
          </w:p>
        </w:tc>
        <w:tc>
          <w:tcPr>
            <w:tcW w:type="dxa" w:w="864"/>
          </w:tcPr>
          <w:p>
            <w:r>
              <w:t>-2.0</w:t>
            </w:r>
          </w:p>
        </w:tc>
        <w:tc>
          <w:tcPr>
            <w:tcW w:type="dxa" w:w="864"/>
          </w:tcPr>
          <w:p>
            <w:r>
              <w:t>-1.3</w:t>
            </w:r>
          </w:p>
        </w:tc>
        <w:tc>
          <w:tcPr>
            <w:tcW w:type="dxa" w:w="864"/>
          </w:tcPr>
          <w:p>
            <w:r>
              <w:t>-1.4</w:t>
            </w:r>
          </w:p>
        </w:tc>
        <w:tc>
          <w:tcPr>
            <w:tcW w:type="dxa" w:w="864"/>
          </w:tcPr>
          <w:p>
            <w:r>
              <w:t>-1.6</w:t>
            </w:r>
          </w:p>
        </w:tc>
        <w:tc>
          <w:tcPr>
            <w:tcW w:type="dxa" w:w="864"/>
          </w:tcPr>
          <w:p>
            <w:r>
              <w:t>-1.8</w:t>
            </w:r>
          </w:p>
        </w:tc>
        <w:tc>
          <w:tcPr>
            <w:tcW w:type="dxa" w:w="864"/>
          </w:tcPr>
          <w:p>
            <w:r>
              <w:t>-1.6</w:t>
            </w:r>
          </w:p>
        </w:tc>
        <w:tc>
          <w:tcPr>
            <w:tcW w:type="dxa" w:w="864"/>
          </w:tcPr>
          <w:p>
            <w:r>
              <w:t>-2.3</w:t>
            </w:r>
          </w:p>
        </w:tc>
      </w:tr>
      <w:tr>
        <w:tc>
          <w:tcPr>
            <w:tcW w:type="dxa" w:w="864"/>
          </w:tcPr>
          <w:p>
            <w:r>
              <w:t>净利润</w:t>
            </w:r>
          </w:p>
        </w:tc>
        <w:tc>
          <w:tcPr>
            <w:tcW w:type="dxa" w:w="864"/>
          </w:tcPr>
          <w:p>
            <w:r>
              <w:t>-0.4</w:t>
            </w:r>
          </w:p>
        </w:tc>
        <w:tc>
          <w:tcPr>
            <w:tcW w:type="dxa" w:w="864"/>
          </w:tcPr>
          <w:p>
            <w:r>
              <w:t>-1.5</w:t>
            </w:r>
          </w:p>
        </w:tc>
        <w:tc>
          <w:tcPr>
            <w:tcW w:type="dxa" w:w="864"/>
          </w:tcPr>
          <w:p>
            <w:r>
              <w:t>5.8</w:t>
            </w:r>
          </w:p>
        </w:tc>
        <w:tc>
          <w:tcPr>
            <w:tcW w:type="dxa" w:w="864"/>
          </w:tcPr>
          <w:p>
            <w:r>
              <w:t>3.8</w:t>
            </w:r>
          </w:p>
        </w:tc>
        <w:tc>
          <w:tcPr>
            <w:tcW w:type="dxa" w:w="864"/>
          </w:tcPr>
          <w:p>
            <w:r>
              <w:t>4.2</w:t>
            </w:r>
          </w:p>
        </w:tc>
        <w:tc>
          <w:tcPr>
            <w:tcW w:type="dxa" w:w="864"/>
          </w:tcPr>
          <w:p>
            <w:r>
              <w:t>4.6</w:t>
            </w:r>
          </w:p>
        </w:tc>
        <w:tc>
          <w:tcPr>
            <w:tcW w:type="dxa" w:w="864"/>
          </w:tcPr>
          <w:p>
            <w:r>
              <w:t>4.9</w:t>
            </w:r>
          </w:p>
        </w:tc>
        <w:tc>
          <w:tcPr>
            <w:tcW w:type="dxa" w:w="864"/>
          </w:tcPr>
          <w:p>
            <w:r>
              <w:t>4.3</w:t>
            </w:r>
          </w:p>
        </w:tc>
        <w:tc>
          <w:tcPr>
            <w:tcW w:type="dxa" w:w="864"/>
          </w:tcPr>
          <w:p>
            <w:r>
              <w:t>6.3</w:t>
            </w:r>
          </w:p>
        </w:tc>
      </w:tr>
      <w:tr>
        <w:tc>
          <w:tcPr>
            <w:tcW w:type="dxa" w:w="864"/>
          </w:tcPr>
          <w:p>
            <w:r>
              <w:t>净利润率</w:t>
            </w:r>
          </w:p>
        </w:tc>
        <w:tc>
          <w:tcPr>
            <w:tcW w:type="dxa" w:w="864"/>
          </w:tcPr>
          <w:p>
            <w:r>
              <w:t>0.0</w:t>
            </w:r>
          </w:p>
        </w:tc>
        <w:tc>
          <w:tcPr>
            <w:tcW w:type="dxa" w:w="864"/>
          </w:tcPr>
          <w:p>
            <w:r>
              <w:t>0.0%</w:t>
            </w:r>
          </w:p>
        </w:tc>
        <w:tc>
          <w:tcPr>
            <w:tcW w:type="dxa" w:w="864"/>
          </w:tcPr>
          <w:p>
            <w:r>
              <w:t>40.9%</w:t>
            </w:r>
          </w:p>
        </w:tc>
        <w:tc>
          <w:tcPr>
            <w:tcW w:type="dxa" w:w="864"/>
          </w:tcPr>
          <w:p>
            <w:r>
              <w:t>11.1%</w:t>
            </w:r>
          </w:p>
        </w:tc>
        <w:tc>
          <w:tcPr>
            <w:tcW w:type="dxa" w:w="864"/>
          </w:tcPr>
          <w:p>
            <w:r>
              <w:t>12.2%</w:t>
            </w:r>
          </w:p>
        </w:tc>
        <w:tc>
          <w:tcPr>
            <w:tcW w:type="dxa" w:w="864"/>
          </w:tcPr>
          <w:p>
            <w:r>
              <w:t>13.4%</w:t>
            </w:r>
          </w:p>
        </w:tc>
        <w:tc>
          <w:tcPr>
            <w:tcW w:type="dxa" w:w="864"/>
          </w:tcPr>
          <w:p>
            <w:r>
              <w:t>14.4%</w:t>
            </w:r>
          </w:p>
        </w:tc>
        <w:tc>
          <w:tcPr>
            <w:tcW w:type="dxa" w:w="864"/>
          </w:tcPr>
          <w:p>
            <w:r>
              <w:t>12.5%</w:t>
            </w:r>
          </w:p>
        </w:tc>
        <w:tc>
          <w:tcPr>
            <w:tcW w:type="dxa" w:w="864"/>
          </w:tcPr>
          <w:p>
            <w:r>
              <w:t>18.4%</w:t>
            </w:r>
          </w:p>
        </w:tc>
      </w:tr>
      <w:tr>
        <w:tc>
          <w:tcPr>
            <w:tcW w:type="dxa" w:w="864"/>
          </w:tcPr>
          <w:p/>
        </w:tc>
        <w:tc>
          <w:tcPr>
            <w:tcW w:type="dxa" w:w="864"/>
          </w:tcPr>
          <w:p/>
        </w:tc>
        <w:tc>
          <w:tcPr>
            <w:tcW w:type="dxa" w:w="864"/>
          </w:tcPr>
          <w:p/>
        </w:tc>
        <w:tc>
          <w:tcPr>
            <w:tcW w:type="dxa" w:w="864"/>
          </w:tcPr>
          <w:p/>
        </w:tc>
        <w:tc>
          <w:tcPr>
            <w:tcW w:type="dxa" w:w="864"/>
          </w:tcPr>
          <w:p/>
        </w:tc>
        <w:tc>
          <w:tcPr>
            <w:tcW w:type="dxa" w:w="864"/>
          </w:tcPr>
          <w:p/>
        </w:tc>
        <w:tc>
          <w:tcPr>
            <w:tcW w:type="dxa" w:w="864"/>
          </w:tcPr>
          <w:p/>
        </w:tc>
        <w:tc>
          <w:tcPr>
            <w:tcW w:type="dxa" w:w="864"/>
          </w:tcPr>
          <w:p/>
        </w:tc>
        <w:tc>
          <w:tcPr>
            <w:tcW w:type="dxa" w:w="864"/>
          </w:tcPr>
          <w:p/>
        </w:tc>
        <w:tc>
          <w:tcPr>
            <w:tcW w:type="dxa" w:w="864"/>
          </w:tcPr>
          <w:p/>
        </w:tc>
      </w:tr>
    </w:tbl>
    <w:p>
      <w:r>
        <w:br w:type="page"/>
      </w:r>
    </w:p>
    <w:p>
      <w:pPr>
        <w:pStyle w:val="Heading2"/>
      </w:pPr>
      <w:r>
        <w:rPr>
          <w:rFonts w:ascii="Calibri" w:hAnsi="Calibri" w:eastAsia="Microsoft YaHei"/>
        </w:rPr>
        <w:t>7.2 市场概览</w:t>
      </w:r>
    </w:p>
    <w:p>
      <w:r>
        <w:rPr>
          <w:rFonts w:ascii="Calibri" w:hAnsi="Calibri" w:eastAsia="Microsoft YaHei"/>
          <w:b w:val="0"/>
          <w:i w:val="0"/>
        </w:rPr>
        <w:t>多米尼加共和国 - 宏观经济与政治亮点</w:t>
      </w:r>
    </w:p>
    <w:p>
      <w:r>
        <w:rPr>
          <w:rFonts w:ascii="Calibri" w:hAnsi="Calibri" w:eastAsia="Microsoft YaHei"/>
          <w:b w:val="0"/>
          <w:i w:val="0"/>
        </w:rPr>
        <w:t>宏观经济概述：</w:t>
      </w:r>
    </w:p>
    <w:p>
      <w:r>
        <w:rPr>
          <w:rFonts w:ascii="Calibri" w:hAnsi="Calibri" w:eastAsia="Microsoft YaHei"/>
          <w:b w:val="0"/>
          <w:i w:val="0"/>
        </w:rPr>
        <w:t>• 多米尼加共和国是加勒比地区的领先经济体，是过去十年中实现持续增长的拉美少数国家之一</w:t>
      </w:r>
    </w:p>
    <w:p>
      <w:r>
        <w:rPr>
          <w:rFonts w:ascii="Calibri" w:hAnsi="Calibri" w:eastAsia="Microsoft YaHei"/>
          <w:b w:val="0"/>
          <w:i w:val="0"/>
        </w:rPr>
        <w:t>• 2021年GDP增长12%，2022年预计增长5.5%，受旅游业复苏和创纪录的侨民汇款推动</w:t>
      </w:r>
    </w:p>
    <w:p>
      <w:r>
        <w:rPr>
          <w:rFonts w:ascii="Calibri" w:hAnsi="Calibri" w:eastAsia="Microsoft YaHei"/>
          <w:b w:val="0"/>
          <w:i w:val="0"/>
        </w:rPr>
        <w:t>• 2021年人均GDP为8,986美元，较2010年的5,757美元增长56%</w:t>
      </w:r>
    </w:p>
    <w:p>
      <w:r>
        <w:rPr>
          <w:rFonts w:ascii="Calibri" w:hAnsi="Calibri" w:eastAsia="Microsoft YaHei"/>
          <w:b w:val="0"/>
          <w:i w:val="0"/>
        </w:rPr>
        <w:t>• 2022年预估债务/GDP比率为59%（疫情前为52.2%）</w:t>
      </w:r>
    </w:p>
    <w:p>
      <w:r>
        <w:rPr>
          <w:rFonts w:ascii="Calibri" w:hAnsi="Calibri" w:eastAsia="Microsoft YaHei"/>
          <w:b w:val="0"/>
          <w:i w:val="0"/>
        </w:rPr>
        <w:t>电力行业概况：</w:t>
      </w:r>
    </w:p>
    <w:p>
      <w:r>
        <w:rPr>
          <w:rFonts w:ascii="Calibri" w:hAnsi="Calibri" w:eastAsia="Microsoft YaHei"/>
          <w:b w:val="0"/>
          <w:i w:val="0"/>
        </w:rPr>
        <w:t>• 2021年装机容量：5,004 MW</w:t>
      </w:r>
    </w:p>
    <w:p>
      <w:r>
        <w:rPr>
          <w:rFonts w:ascii="Calibri" w:hAnsi="Calibri" w:eastAsia="Microsoft YaHei"/>
          <w:b w:val="0"/>
          <w:i w:val="0"/>
        </w:rPr>
        <w:t>• 可再生能源占装机容量的26%</w:t>
      </w:r>
    </w:p>
    <w:p>
      <w:r>
        <w:rPr>
          <w:rFonts w:ascii="Calibri" w:hAnsi="Calibri" w:eastAsia="Microsoft YaHei"/>
          <w:b w:val="0"/>
          <w:i w:val="0"/>
        </w:rPr>
        <w:t>• 2021年总发电量：21,455 GWh</w:t>
      </w:r>
    </w:p>
    <w:p>
      <w:r>
        <w:rPr>
          <w:rFonts w:ascii="Calibri" w:hAnsi="Calibri" w:eastAsia="Microsoft YaHei"/>
          <w:b w:val="0"/>
          <w:i w:val="0"/>
        </w:rPr>
        <w:t>• 发电结构：热电85%，水电7%，风电5.7%，光伏2.3%</w:t>
      </w:r>
    </w:p>
    <w:p>
      <w:r>
        <w:rPr>
          <w:rFonts w:ascii="Calibri" w:hAnsi="Calibri" w:eastAsia="Microsoft YaHei"/>
          <w:b w:val="0"/>
          <w:i w:val="0"/>
        </w:rPr>
        <w:t>可再生能源概况：</w:t>
      </w:r>
    </w:p>
    <w:p>
      <w:r>
        <w:rPr>
          <w:rFonts w:ascii="Calibri" w:hAnsi="Calibri" w:eastAsia="Microsoft YaHei"/>
          <w:b w:val="0"/>
          <w:i w:val="0"/>
        </w:rPr>
        <w:t>• 多米尼加政府目标是到2025年所有能源的25%来自可再生能源</w:t>
      </w:r>
    </w:p>
    <w:p>
      <w:r>
        <w:rPr>
          <w:rFonts w:ascii="Calibri" w:hAnsi="Calibri" w:eastAsia="Microsoft YaHei"/>
          <w:b w:val="0"/>
          <w:i w:val="0"/>
        </w:rPr>
        <w:t>• 自2011年以来，约12.31亿美元投资于16个可再生能源项目</w:t>
      </w:r>
    </w:p>
    <w:p>
      <w:r>
        <w:rPr>
          <w:rFonts w:ascii="Calibri" w:hAnsi="Calibri" w:eastAsia="Microsoft YaHei"/>
          <w:b w:val="0"/>
          <w:i w:val="0"/>
        </w:rPr>
        <w:t>• 已运营的可再生能源装机容量：705 MW</w:t>
      </w:r>
    </w:p>
    <w:p>
      <w:r>
        <w:rPr>
          <w:rFonts w:ascii="Calibri" w:hAnsi="Calibri" w:eastAsia="Microsoft YaHei"/>
          <w:b w:val="0"/>
          <w:i w:val="0"/>
        </w:rPr>
        <w:t>• 已批准/许可的最终特许经营权：24个，总容量1,182 MW</w:t>
      </w:r>
    </w:p>
    <w:p>
      <w:pPr>
        <w:pStyle w:val="Heading2"/>
      </w:pPr>
      <w:r>
        <w:rPr>
          <w:rFonts w:ascii="Calibri" w:hAnsi="Calibri" w:eastAsia="Microsoft YaHei"/>
        </w:rPr>
        <w:t>7.3 股东结构</w:t>
      </w:r>
    </w:p>
    <w:p>
      <w:r>
        <w:rPr>
          <w:rFonts w:ascii="Calibri" w:hAnsi="Calibri" w:eastAsia="Microsoft YaHei"/>
          <w:b w:val="0"/>
          <w:i w:val="0"/>
        </w:rPr>
        <w:t>当前股东结构：</w:t>
      </w:r>
    </w:p>
    <w:p>
      <w:r>
        <w:rPr>
          <w:rFonts w:ascii="Calibri" w:hAnsi="Calibri" w:eastAsia="Microsoft YaHei"/>
          <w:b w:val="0"/>
          <w:i w:val="0"/>
        </w:rPr>
        <w:t>• EDP和IBV各持有50%投票权</w:t>
      </w:r>
    </w:p>
    <w:p>
      <w:r>
        <w:rPr>
          <w:rFonts w:ascii="Calibri" w:hAnsi="Calibri" w:eastAsia="Microsoft YaHei"/>
          <w:b w:val="0"/>
          <w:i w:val="0"/>
        </w:rPr>
        <w:t>• Frank Rouco持有10%经济权益</w:t>
      </w:r>
    </w:p>
    <w:p>
      <w:r>
        <w:rPr>
          <w:rFonts w:ascii="Calibri" w:hAnsi="Calibri" w:eastAsia="Microsoft YaHei"/>
          <w:b w:val="0"/>
          <w:i w:val="0"/>
        </w:rPr>
        <w:t>重组后股东结构：</w:t>
      </w:r>
    </w:p>
    <w:p>
      <w:r>
        <w:rPr>
          <w:rFonts w:ascii="Calibri" w:hAnsi="Calibri" w:eastAsia="Microsoft YaHei"/>
          <w:b w:val="0"/>
          <w:i w:val="0"/>
        </w:rPr>
        <w:t>• ib vogt GmbH 100%持有西班牙控股公司</w:t>
      </w:r>
    </w:p>
    <w:p>
      <w:r>
        <w:rPr>
          <w:rFonts w:ascii="Calibri" w:hAnsi="Calibri" w:eastAsia="Microsoft YaHei"/>
          <w:b w:val="0"/>
          <w:i w:val="0"/>
        </w:rPr>
        <w:t>• 西班牙控股公司持有45%</w:t>
      </w:r>
    </w:p>
    <w:p>
      <w:r>
        <w:rPr>
          <w:rFonts w:ascii="Calibri" w:hAnsi="Calibri" w:eastAsia="Microsoft YaHei"/>
          <w:b w:val="0"/>
          <w:i w:val="0"/>
        </w:rPr>
        <w:t>• Maarten Riedel 100%持有Wyoming Solar LLC</w:t>
      </w:r>
    </w:p>
    <w:p>
      <w:r>
        <w:rPr>
          <w:rFonts w:ascii="Calibri" w:hAnsi="Calibri" w:eastAsia="Microsoft YaHei"/>
          <w:b w:val="0"/>
          <w:i w:val="0"/>
        </w:rPr>
        <w:t>• Frank Epps持有18%</w:t>
      </w:r>
    </w:p>
    <w:p>
      <w:r>
        <w:rPr>
          <w:rFonts w:ascii="Calibri" w:hAnsi="Calibri" w:eastAsia="Microsoft YaHei"/>
          <w:b w:val="0"/>
          <w:i w:val="0"/>
        </w:rPr>
        <w:t>• Frank Rouco持有10%经济权益</w:t>
      </w:r>
    </w:p>
    <w:p>
      <w:pPr>
        <w:pStyle w:val="Heading2"/>
      </w:pPr>
      <w:r>
        <w:rPr>
          <w:rFonts w:ascii="Calibri" w:hAnsi="Calibri" w:eastAsia="Microsoft YaHei"/>
        </w:rPr>
        <w:t>联系方式</w:t>
      </w:r>
    </w:p>
    <w:p>
      <w:r>
        <w:rPr>
          <w:rFonts w:ascii="Calibri" w:hAnsi="Calibri" w:eastAsia="Microsoft YaHei"/>
          <w:b w:val="0"/>
          <w:i w:val="0"/>
        </w:rPr>
        <w:t>Miguel Bermejo - 管理合伙人 - miguel.bermejo@atlanticocap.com</w:t>
      </w:r>
    </w:p>
    <w:p>
      <w:r>
        <w:rPr>
          <w:rFonts w:ascii="Calibri" w:hAnsi="Calibri" w:eastAsia="Microsoft YaHei"/>
          <w:b w:val="0"/>
          <w:i w:val="0"/>
        </w:rPr>
        <w:t>Ivan Oliveros - 合伙人 - ivan.oliveros@atlanticocap.com</w:t>
      </w:r>
    </w:p>
    <w:p>
      <w:r>
        <w:rPr>
          <w:rFonts w:ascii="Calibri" w:hAnsi="Calibri" w:eastAsia="Microsoft YaHei"/>
          <w:b w:val="0"/>
          <w:i w:val="0"/>
        </w:rPr>
        <w:t>Nathaniel Felton - 副总裁 - nathaniel.felton@atlanticocap.com</w:t>
      </w:r>
    </w:p>
    <w:p>
      <w:r>
        <w:rPr>
          <w:rFonts w:ascii="Calibri" w:hAnsi="Calibri" w:eastAsia="Microsoft YaHei"/>
          <w:b w:val="0"/>
          <w:i w:val="0"/>
        </w:rPr>
        <w:t>Antonio Porras - 副总监 - antonio.porras@atlanticocap.com</w:t>
      </w:r>
    </w:p>
    <w:p>
      <w:r>
        <w:rPr>
          <w:rFonts w:ascii="Calibri" w:hAnsi="Calibri" w:eastAsia="Microsoft YaHei"/>
          <w:b w:val="0"/>
          <w:i w:val="0"/>
        </w:rPr>
        <w:t>Daniel Fonseca - 分析师 - daniel.fonseca@atlanticocap.com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Microsoft YaHe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