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Livoltek 非独家分销协议 - 中文翻译</w:t>
      </w:r>
    </w:p>
    <w:p>
      <w:pPr>
        <w:pStyle w:val="Heading1"/>
      </w:pPr>
      <w:r>
        <w:t>协议双方</w:t>
      </w:r>
    </w:p>
    <w:p>
      <w:r>
        <w:t>供应商：杭州Livoltek电力有限公司（HANGZHOU LIVOLTEK POWER CO., LTD.）</w:t>
      </w:r>
    </w:p>
    <w:p>
      <w:r>
        <w:t>地址：中国杭州市拱墅区莫干山路1418-35号，310011</w:t>
      </w:r>
    </w:p>
    <w:p>
      <w:r>
        <w:t>电话：+86 156 5802 1585</w:t>
      </w:r>
    </w:p>
    <w:p>
      <w:r>
        <w:t>邮箱：info@livoltek.com</w:t>
      </w:r>
    </w:p>
    <w:p>
      <w:r>
        <w:t>代表：夏峰先生（中国国籍，护照号E89798657）</w:t>
      </w:r>
    </w:p>
    <w:p/>
    <w:p>
      <w:r>
        <w:t>分销商：SEER新能源电力服务有限公司（SEER SERVICIOS DE ELECTRICIDAD Y ENERGIA RENOVABLE, S.R.L.）</w:t>
      </w:r>
    </w:p>
    <w:p>
      <w:r>
        <w:t>地址：多米尼加共和国圣克里斯托瓦尔省奥利匹克大街20号，Peralta区</w:t>
      </w:r>
    </w:p>
    <w:p>
      <w:r>
        <w:t>税号：1-31-14938-3</w:t>
      </w:r>
    </w:p>
    <w:p>
      <w:r>
        <w:t>商业登记号：11526STI</w:t>
      </w:r>
    </w:p>
    <w:p>
      <w:r>
        <w:t>代表：Isidro Antonio Lora Núñez（经理，身份证号031-0139237-5）</w:t>
      </w:r>
    </w:p>
    <w:p>
      <w:pPr>
        <w:pStyle w:val="Heading1"/>
      </w:pPr>
      <w:r>
        <w:t>第一条：产品与区域</w:t>
      </w:r>
    </w:p>
    <w:p>
      <w:r>
        <w:t>1.1 产品 - 供应商在此指定分销商为多米尼加共和国北部地区的非独家分销商，覆盖以下省份：Monseñor Nouel、La Vega、Espaillat、Santiago、Santiago Rodríguez、Puerto Plata、Montecristi、Samaná、Valverde、Dajabón、María Trinidad Sánchez、Hermanas Mirabal、Duarte、San Francisco de Macorís。</w:t>
      </w:r>
    </w:p>
    <w:p>
      <w:r>
        <w:t>1.2 区域 - 供应商指定分销商向主要营业地点位于上述区域内的任何买家销售产品。</w:t>
      </w:r>
    </w:p>
    <w:p>
      <w:r>
        <w:t>1.3 最大努力 - 分销商应尽最大努力在区域内推广和销售产品。</w:t>
      </w:r>
    </w:p>
    <w:p>
      <w:r>
        <w:t>1.4 产品和区域变更 - 供应商保留在咨询分销商后扩大或减少本协议涵盖的产品和区域的权利。</w:t>
      </w:r>
    </w:p>
    <w:p>
      <w:pPr>
        <w:pStyle w:val="Heading1"/>
      </w:pPr>
      <w:r>
        <w:t>第二条：价格与付款</w:t>
      </w:r>
    </w:p>
    <w:p>
      <w:r>
        <w:t>2.1 采购订单 - 分销商应通过提交书面采购订单向供应商订购产品。所有产品订单均需供应商接受。</w:t>
      </w:r>
    </w:p>
    <w:p>
      <w:r>
        <w:t>2.2 价格 - 如采购订单根据第2.1条被接受，供应商的价格见附件B。供应商可每月更改价格，自通知之日起生效。价格变更不影响已接受的采购订单。</w:t>
      </w:r>
    </w:p>
    <w:p>
      <w:r>
        <w:t>2.3 客户价格 - 分销商可自行设定销售价格。</w:t>
      </w:r>
    </w:p>
    <w:p>
      <w:r>
        <w:t>2.4 付款条件 - 30%预付款，70%发货前付款，根据供应商为每笔订单出具的形式发票支付。</w:t>
      </w:r>
    </w:p>
    <w:p>
      <w:pPr>
        <w:pStyle w:val="Heading1"/>
      </w:pPr>
      <w:r>
        <w:t>第三条：双方关系</w:t>
      </w:r>
    </w:p>
    <w:p>
      <w:r>
        <w:t>3.1 独立承包商 - 分销商为独立承包商，与供应商的关系不构成雇佣、合伙、合资或代理关系。</w:t>
      </w:r>
    </w:p>
    <w:p>
      <w:r>
        <w:t>3.2 分销商费用 - 分销商应自行承担所有费用。</w:t>
      </w:r>
    </w:p>
    <w:p>
      <w:r>
        <w:t>3.3 无权代表 - 分销商无权代表供应商签订合同或承担义务。</w:t>
      </w:r>
    </w:p>
    <w:p>
      <w:pPr>
        <w:pStyle w:val="Heading1"/>
      </w:pPr>
      <w:r>
        <w:t>第四条：商标</w:t>
      </w:r>
    </w:p>
    <w:p>
      <w:r>
        <w:t>分销商可在区域内使用供应商的商标，仅用于与产品销售和分销相关的展示或广告目的。</w:t>
      </w:r>
    </w:p>
    <w:p>
      <w:pPr>
        <w:pStyle w:val="Heading1"/>
      </w:pPr>
      <w:r>
        <w:t>第五条：有限保修</w:t>
      </w:r>
    </w:p>
    <w:p>
      <w:r>
        <w:t>5.1 产品保修 - 供应商不对有缺陷零部件造成的损害负责，除非根据供应商的产品保修进行更换或维修。</w:t>
      </w:r>
    </w:p>
    <w:p>
      <w:r>
        <w:t>5.2 产品修改 - 分销商不得自定义或修改产品，除非获得供应商的书面同意。</w:t>
      </w:r>
    </w:p>
    <w:p>
      <w:pPr>
        <w:pStyle w:val="Heading1"/>
      </w:pPr>
      <w:r>
        <w:t>第六条：责任限制</w:t>
      </w:r>
    </w:p>
    <w:p>
      <w:r>
        <w:t>6.1 责任上限 - 供应商的责任不超过分销商实际支付的产品购买价格。</w:t>
      </w:r>
    </w:p>
    <w:p>
      <w:r>
        <w:t>6.2 间接损害除外 - 供应商不对任何特殊、附带或后果性损害负责。</w:t>
      </w:r>
    </w:p>
    <w:p>
      <w:pPr>
        <w:pStyle w:val="Heading1"/>
      </w:pPr>
      <w:r>
        <w:t>第七条：终止</w:t>
      </w:r>
    </w:p>
    <w:p>
      <w:r>
        <w:t>7.1 重大违约 - 任何一方发生重大违约另一方可书面通知终止。</w:t>
      </w:r>
    </w:p>
    <w:p>
      <w:r>
        <w:t>7.2 破产 - 任何一方破产时可终止。</w:t>
      </w:r>
    </w:p>
    <w:p>
      <w:r>
        <w:t>7.3 控制权变更 - 控制权变更影响业务时可终止。</w:t>
      </w:r>
    </w:p>
    <w:p>
      <w:r>
        <w:t>7.4 生效日期 - 协议生效日期为_____，有效期至_____，可提前终止。</w:t>
      </w:r>
    </w:p>
    <w:p>
      <w:r>
        <w:t>7.5 续期 - 如分销商在到期前60天书面通知，可续期1年。</w:t>
      </w:r>
    </w:p>
    <w:p>
      <w:r>
        <w:t>7.6 终止效力 - 终止后供应商无义务向分销商支付任何补偿。</w:t>
      </w:r>
    </w:p>
    <w:p>
      <w:r>
        <w:t>7.7 终止后付款 - 终止不影响分销商支付已交付产品款项的义务。</w:t>
      </w:r>
    </w:p>
    <w:p>
      <w:pPr>
        <w:pStyle w:val="Heading1"/>
      </w:pPr>
      <w:r>
        <w:t>第八条：修改</w:t>
      </w:r>
    </w:p>
    <w:p>
      <w:r>
        <w:t>本协议的修改必须经双方书面签署。</w:t>
      </w:r>
    </w:p>
    <w:p>
      <w:pPr>
        <w:pStyle w:val="Heading1"/>
      </w:pPr>
      <w:r>
        <w:t>第九条：转让</w:t>
      </w:r>
    </w:p>
    <w:p>
      <w:r>
        <w:t>未经对方书面同意，任何一方不得转让本协议。</w:t>
      </w:r>
    </w:p>
    <w:p>
      <w:pPr>
        <w:pStyle w:val="Heading1"/>
      </w:pPr>
      <w:r>
        <w:t>第十条：通知</w:t>
      </w:r>
    </w:p>
    <w:p>
      <w:r>
        <w:t>所有通知必须以书面形式发送。</w:t>
      </w:r>
    </w:p>
    <w:p>
      <w:r>
        <w:t>分销商地址：多米尼加共和国圣克里斯托瓦尔省圣迭戈市奥利匹克大街20号</w:t>
      </w:r>
    </w:p>
    <w:p>
      <w:r>
        <w:t>电话：829-341-0383</w:t>
      </w:r>
    </w:p>
    <w:p>
      <w:r>
        <w:t>邮箱：isidrolora@seersolar.com</w:t>
      </w:r>
    </w:p>
    <w:p/>
    <w:p>
      <w:r>
        <w:t>供应商地址：中国杭州市拱墅区莫干山路1418-35号，310011</w:t>
      </w:r>
    </w:p>
    <w:p>
      <w:r>
        <w:t>电话：+86 156 5802 1585</w:t>
      </w:r>
    </w:p>
    <w:p>
      <w:r>
        <w:t>邮箱：info@livoltek.com</w:t>
      </w:r>
    </w:p>
    <w:p>
      <w:r>
        <w:t>联系人：Belinda Zhu（市场总监）</w:t>
      </w:r>
    </w:p>
    <w:p>
      <w:pPr>
        <w:pStyle w:val="Heading1"/>
      </w:pPr>
      <w:r>
        <w:t>第十一条：弃权</w:t>
      </w:r>
    </w:p>
    <w:p>
      <w:r>
        <w:t>任何一方弃权必须经授权代表书面签署。</w:t>
      </w:r>
    </w:p>
    <w:p>
      <w:pPr>
        <w:pStyle w:val="Heading1"/>
      </w:pPr>
      <w:r>
        <w:t>第十二条：法律适用与争议解决</w:t>
      </w:r>
    </w:p>
    <w:p>
      <w:r>
        <w:t>12.1 适用法律 - 本协议受多米尼加共和国法律管辖。</w:t>
      </w:r>
    </w:p>
    <w:p>
      <w:r>
        <w:t>12.2 仲裁 - 任何争议应通过仲裁解决，仲裁地在多米尼加共和国。</w:t>
      </w:r>
    </w:p>
    <w:p>
      <w:pPr>
        <w:pStyle w:val="Heading1"/>
      </w:pPr>
      <w:r>
        <w:t>第十三条：保密</w:t>
      </w:r>
    </w:p>
    <w:p>
      <w:r>
        <w:t>分销商承认供应商对任何保密信息拥有专有权益，不得用于销售和分销以外的目的。</w:t>
      </w:r>
    </w:p>
    <w:p>
      <w:pPr>
        <w:pStyle w:val="Heading1"/>
      </w:pPr>
      <w:r>
        <w:t>第十四条：完整协议</w:t>
      </w:r>
    </w:p>
    <w:p>
      <w:r>
        <w:t>本协议取代任何先前协议，构成双方完整协议。</w:t>
      </w:r>
    </w:p>
    <w:p>
      <w:pPr>
        <w:pStyle w:val="Heading1"/>
      </w:pPr>
      <w:r>
        <w:t>第十五条：不可抗力</w:t>
      </w:r>
    </w:p>
    <w:p>
      <w:r>
        <w:t>任何因合理控制范围外原因导致的延迟或违约不承担责任。</w:t>
      </w:r>
    </w:p>
    <w:p>
      <w:pPr>
        <w:pStyle w:val="Heading1"/>
      </w:pPr>
      <w:r>
        <w:t>第十六条：合规</w:t>
      </w:r>
    </w:p>
    <w:p>
      <w:r>
        <w:t>双方承诺遵守所有适用法律。分销商负责取得在区域内销售产品所需的所有许可。</w:t>
      </w:r>
    </w:p>
    <w:p>
      <w:pPr>
        <w:pStyle w:val="Heading1"/>
      </w:pPr>
      <w:r>
        <w:t>第十七条：可分割性</w:t>
      </w:r>
    </w:p>
    <w:p>
      <w:r>
        <w:t>如任何条款被认定无效，其余条款仍有效。</w:t>
      </w:r>
    </w:p>
    <w:p>
      <w:pPr>
        <w:pStyle w:val="Heading1"/>
      </w:pPr>
      <w:r>
        <w:t>第十八条：副本</w:t>
      </w:r>
    </w:p>
    <w:p>
      <w:r>
        <w:t>本协议可签署多份，每份视为原件。</w:t>
      </w:r>
    </w:p>
    <w:p>
      <w:pPr>
        <w:pStyle w:val="Heading1"/>
      </w:pPr>
      <w:r>
        <w:t>签署</w:t>
      </w:r>
    </w:p>
    <w:p>
      <w:r>
        <w:t>签署地点：多米尼加共和国圣克里斯托瓦尔省市 Santiago，2026年2月18日</w:t>
      </w:r>
    </w:p>
    <w:p/>
    <w:p>
      <w:r>
        <w:t>_______________________</w:t>
      </w:r>
    </w:p>
    <w:p>
      <w:r>
        <w:t>夏峰</w:t>
      </w:r>
    </w:p>
    <w:p>
      <w:r>
        <w:t>代表：杭州Livoltek电力有限公司</w:t>
      </w:r>
    </w:p>
    <w:p>
      <w:r>
        <w:t>（供应商）</w:t>
      </w:r>
    </w:p>
    <w:p/>
    <w:p>
      <w:r>
        <w:t>_______________________</w:t>
      </w:r>
    </w:p>
    <w:p>
      <w:r>
        <w:t>Isidro Antonio Lora Núñez</w:t>
      </w:r>
    </w:p>
    <w:p>
      <w:r>
        <w:t>代表：SEER新能源电力服务有限公司</w:t>
      </w:r>
    </w:p>
    <w:p>
      <w:r>
        <w:t>（分销商）</w:t>
      </w:r>
    </w:p>
    <w:p>
      <w:pPr>
        <w:pStyle w:val="Heading1"/>
      </w:pPr>
      <w:r>
        <w:t>附件A - 产品清单</w:t>
      </w:r>
    </w:p>
    <w:tbl>
      <w:tblPr>
        <w:tblStyle w:val="TableGrid"/>
        <w:tblW w:type="auto" w:w="0"/>
        <w:tblLook w:firstColumn="1" w:firstRow="1" w:lastColumn="0" w:lastRow="0" w:noHBand="0" w:noVBand="1" w:val="04A0"/>
      </w:tblPr>
      <w:tblGrid>
        <w:gridCol w:w="4320"/>
        <w:gridCol w:w="4320"/>
      </w:tblGrid>
      <w:tr>
        <w:tc>
          <w:tcPr>
            <w:tcW w:type="dxa" w:w="4320"/>
          </w:tcPr>
          <w:p>
            <w:r>
              <w:t>序号</w:t>
            </w:r>
          </w:p>
        </w:tc>
        <w:tc>
          <w:tcPr>
            <w:tcW w:type="dxa" w:w="4320"/>
          </w:tcPr>
          <w:p>
            <w:r>
              <w:t>型号</w:t>
            </w:r>
          </w:p>
        </w:tc>
      </w:tr>
      <w:tr>
        <w:tc>
          <w:tcPr>
            <w:tcW w:type="dxa" w:w="4320"/>
          </w:tcPr>
          <w:p>
            <w:r>
              <w:t>1</w:t>
            </w:r>
          </w:p>
        </w:tc>
        <w:tc>
          <w:tcPr>
            <w:tcW w:type="dxa" w:w="4320"/>
          </w:tcPr>
          <w:p>
            <w:r>
              <w:t>GF1-3K48S1</w:t>
            </w:r>
          </w:p>
        </w:tc>
      </w:tr>
      <w:tr>
        <w:tc>
          <w:tcPr>
            <w:tcW w:type="dxa" w:w="4320"/>
          </w:tcPr>
          <w:p>
            <w:r>
              <w:t>2</w:t>
            </w:r>
          </w:p>
        </w:tc>
        <w:tc>
          <w:tcPr>
            <w:tcW w:type="dxa" w:w="4320"/>
          </w:tcPr>
          <w:p>
            <w:r>
              <w:t>GF1-5K48S1</w:t>
            </w:r>
          </w:p>
        </w:tc>
      </w:tr>
      <w:tr>
        <w:tc>
          <w:tcPr>
            <w:tcW w:type="dxa" w:w="4320"/>
          </w:tcPr>
          <w:p>
            <w:r>
              <w:t>3</w:t>
            </w:r>
          </w:p>
        </w:tc>
        <w:tc>
          <w:tcPr>
            <w:tcW w:type="dxa" w:w="4320"/>
          </w:tcPr>
          <w:p>
            <w:r>
              <w:t>Hyper-3000</w:t>
            </w:r>
          </w:p>
        </w:tc>
      </w:tr>
      <w:tr>
        <w:tc>
          <w:tcPr>
            <w:tcW w:type="dxa" w:w="4320"/>
          </w:tcPr>
          <w:p>
            <w:r>
              <w:t>4</w:t>
            </w:r>
          </w:p>
        </w:tc>
        <w:tc>
          <w:tcPr>
            <w:tcW w:type="dxa" w:w="4320"/>
          </w:tcPr>
          <w:p>
            <w:r>
              <w:t>Hyper-3680</w:t>
            </w:r>
          </w:p>
        </w:tc>
      </w:tr>
      <w:tr>
        <w:tc>
          <w:tcPr>
            <w:tcW w:type="dxa" w:w="4320"/>
          </w:tcPr>
          <w:p>
            <w:r>
              <w:t>5</w:t>
            </w:r>
          </w:p>
        </w:tc>
        <w:tc>
          <w:tcPr>
            <w:tcW w:type="dxa" w:w="4320"/>
          </w:tcPr>
          <w:p>
            <w:r>
              <w:t>Hyper-5000</w:t>
            </w:r>
          </w:p>
        </w:tc>
      </w:tr>
      <w:tr>
        <w:tc>
          <w:tcPr>
            <w:tcW w:type="dxa" w:w="4320"/>
          </w:tcPr>
          <w:p>
            <w:r>
              <w:t>6</w:t>
            </w:r>
          </w:p>
        </w:tc>
        <w:tc>
          <w:tcPr>
            <w:tcW w:type="dxa" w:w="4320"/>
          </w:tcPr>
          <w:p>
            <w:r>
              <w:t>ALL IN ONE Hyper-3000(A)</w:t>
            </w:r>
          </w:p>
        </w:tc>
      </w:tr>
      <w:tr>
        <w:tc>
          <w:tcPr>
            <w:tcW w:type="dxa" w:w="4320"/>
          </w:tcPr>
          <w:p>
            <w:r>
              <w:t>7</w:t>
            </w:r>
          </w:p>
        </w:tc>
        <w:tc>
          <w:tcPr>
            <w:tcW w:type="dxa" w:w="4320"/>
          </w:tcPr>
          <w:p>
            <w:r>
              <w:t>ALL IN ONE Hyper-3680(A)</w:t>
            </w:r>
          </w:p>
        </w:tc>
      </w:tr>
      <w:tr>
        <w:tc>
          <w:tcPr>
            <w:tcW w:type="dxa" w:w="4320"/>
          </w:tcPr>
          <w:p>
            <w:r>
              <w:t>8</w:t>
            </w:r>
          </w:p>
        </w:tc>
        <w:tc>
          <w:tcPr>
            <w:tcW w:type="dxa" w:w="4320"/>
          </w:tcPr>
          <w:p>
            <w:r>
              <w:t>ALL IN ONE Hyper-5000(A)</w:t>
            </w:r>
          </w:p>
        </w:tc>
      </w:tr>
    </w:tbl>
    <w:p/>
    <w:p>
      <w:r>
        <w:t>附件B - 产品价格（见原文件）</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