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edenorte采购决议-res-cc-439-2025"/>
    <w:p>
      <w:pPr>
        <w:pStyle w:val="Heading1"/>
      </w:pPr>
      <w:r>
        <w:rPr>
          <w:rFonts w:hint="eastAsia"/>
        </w:rPr>
        <w:t xml:space="preserve">EDENORTE采购决议</w:t>
      </w:r>
      <w:r>
        <w:t xml:space="preserve"> RES-CC-439-2025</w:t>
      </w:r>
    </w:p>
    <w:bookmarkStart w:id="9" w:name="采购委员会关于智能电表采购项目中标结果的决议"/>
    <w:p>
      <w:pPr>
        <w:pStyle w:val="Heading2"/>
      </w:pPr>
      <w:r>
        <w:rPr>
          <w:rFonts w:hint="eastAsia"/>
        </w:rPr>
        <w:t xml:space="preserve">采购委员会关于智能电表采购项目中标结果的决议</w:t>
      </w:r>
    </w:p>
    <w:p>
      <w:pPr>
        <w:pStyle w:val="FirstParagraph"/>
      </w:pPr>
      <w:r>
        <w:rPr>
          <w:rFonts w:hint="eastAsia"/>
          <w:b/>
          <w:bCs/>
        </w:rPr>
        <w:t xml:space="preserve">项目编号：</w:t>
      </w:r>
      <w:r>
        <w:t xml:space="preserve"> </w:t>
      </w:r>
      <w:r>
        <w:t xml:space="preserve">EDENORTE-MAE-PEEN-2025-0004</w:t>
      </w:r>
      <w:r>
        <w:br/>
      </w:r>
      <w:r>
        <w:rPr>
          <w:rFonts w:hint="eastAsia"/>
          <w:b/>
          <w:bCs/>
        </w:rPr>
        <w:t xml:space="preserve">项目名称：</w:t>
      </w:r>
      <w:r>
        <w:t xml:space="preserve"> </w:t>
      </w:r>
      <w:r>
        <w:rPr>
          <w:rFonts w:hint="eastAsia"/>
        </w:rPr>
        <w:t xml:space="preserve">移动网络技术电表采购（第一批）</w:t>
      </w:r>
      <w:r>
        <w:br/>
      </w:r>
      <w:r>
        <w:rPr>
          <w:rFonts w:hint="eastAsia"/>
          <w:b/>
          <w:bCs/>
        </w:rPr>
        <w:t xml:space="preserve">采购方式：</w:t>
      </w:r>
      <w:r>
        <w:t xml:space="preserve"> </w:t>
      </w:r>
      <w:r>
        <w:rPr>
          <w:rFonts w:hint="eastAsia"/>
        </w:rPr>
        <w:t xml:space="preserve">国家紧急状态例外</w:t>
      </w:r>
      <w:r>
        <w:br/>
      </w:r>
      <w:r>
        <w:rPr>
          <w:rFonts w:hint="eastAsia"/>
          <w:b/>
          <w:bCs/>
        </w:rPr>
        <w:t xml:space="preserve">决议日期：</w:t>
      </w:r>
      <w:r>
        <w:t xml:space="preserve"> </w:t>
      </w:r>
      <w:r>
        <w:rPr>
          <w:rFonts w:hint="eastAsia"/>
        </w:rPr>
        <w:t xml:space="preserve">2025年12月19日</w:t>
      </w:r>
      <w:r>
        <w:br/>
      </w:r>
      <w:r>
        <w:rPr>
          <w:rFonts w:hint="eastAsia"/>
          <w:b/>
          <w:bCs/>
        </w:rPr>
        <w:t xml:space="preserve">地点：</w:t>
      </w:r>
      <w:r>
        <w:t xml:space="preserve"> </w:t>
      </w:r>
      <w:r>
        <w:rPr>
          <w:rFonts w:hint="eastAsia"/>
        </w:rPr>
        <w:t xml:space="preserve">圣地亚哥德洛斯卡瓦耶罗斯，多米尼加共和国</w:t>
      </w:r>
    </w:p>
    <w:p>
      <w:r>
        <w:pict>
          <v:rect style="width:0;height:1.5pt" o:hralign="center" o:hrstd="t" o:hr="t"/>
        </w:pict>
      </w:r>
    </w:p>
    <w:bookmarkEnd w:id="9"/>
    <w:bookmarkStart w:id="10" w:name="第一部分项目背景"/>
    <w:p>
      <w:pPr>
        <w:pStyle w:val="Heading2"/>
      </w:pPr>
      <w:r>
        <w:rPr>
          <w:rFonts w:hint="eastAsia"/>
        </w:rPr>
        <w:t xml:space="preserve">第一部分：项目背景</w:t>
      </w:r>
    </w:p>
    <w:p>
      <w:pPr>
        <w:pStyle w:val="FirstParagraph"/>
      </w:pPr>
      <w:r>
        <w:rPr>
          <w:rFonts w:hint="eastAsia"/>
        </w:rPr>
        <w:t xml:space="preserve">根据2025年9月8日第517-25号法令，多米尼加共和国宣布国家紧急状态，以应对电力系统不稳定、满足电力需求并降低技术损耗。本项目被列为”不可阻挡的战略行动”，确保电力服务的连续性和效率。</w:t>
      </w:r>
    </w:p>
    <w:p>
      <w:pPr>
        <w:pStyle w:val="BodyText"/>
      </w:pPr>
      <w:r>
        <w:rPr>
          <w:rFonts w:hint="eastAsia"/>
          <w:b/>
          <w:bCs/>
        </w:rPr>
        <w:t xml:space="preserve">2025年11月25日：</w:t>
      </w:r>
      <w:r>
        <w:t xml:space="preserve"> </w:t>
      </w:r>
      <w:r>
        <w:rPr>
          <w:rFonts w:hint="eastAsia"/>
        </w:rPr>
        <w:t xml:space="preserve">总经理指示采购委员会启动紧急例外程序</w:t>
      </w:r>
      <w:r>
        <w:br/>
      </w:r>
      <w:r>
        <w:rPr>
          <w:rFonts w:hint="eastAsia"/>
          <w:b/>
          <w:bCs/>
        </w:rPr>
        <w:t xml:space="preserve">2025年11月28日：</w:t>
      </w:r>
      <w:r>
        <w:t xml:space="preserve"> </w:t>
      </w:r>
      <w:r>
        <w:rPr>
          <w:rFonts w:hint="eastAsia"/>
        </w:rPr>
        <w:t xml:space="preserve">在EDENORTE官网及公共采购总局网站发布招标公告</w:t>
      </w:r>
      <w:r>
        <w:br/>
      </w:r>
      <w:r>
        <w:rPr>
          <w:rFonts w:hint="eastAsia"/>
          <w:b/>
          <w:bCs/>
        </w:rPr>
        <w:t xml:space="preserve">2025年12月5日：</w:t>
      </w:r>
      <w:r>
        <w:t xml:space="preserve"> </w:t>
      </w:r>
      <w:r>
        <w:rPr>
          <w:rFonts w:hint="eastAsia"/>
        </w:rPr>
        <w:t xml:space="preserve">开标，共收到3家投标：</w:t>
      </w:r>
      <w:r>
        <w:br/>
      </w:r>
      <w:r>
        <w:t xml:space="preserve">1. MEGAWATT DOMINICANA JLR, S.R.L.</w:t>
      </w:r>
      <w:r>
        <w:br/>
      </w:r>
      <w:r>
        <w:t xml:space="preserve">2. CONSORCIO KEIKO-ACC</w:t>
      </w:r>
      <w:r>
        <w:br/>
      </w:r>
      <w:r>
        <w:t xml:space="preserve">3. HEXING ELECTRICAL CO, LTD.</w:t>
      </w:r>
    </w:p>
    <w:p>
      <w:r>
        <w:pict>
          <v:rect style="width:0;height:1.5pt" o:hralign="center" o:hrstd="t" o:hr="t"/>
        </w:pict>
      </w:r>
    </w:p>
    <w:bookmarkEnd w:id="10"/>
    <w:bookmarkStart w:id="13" w:name="第二部分评审结果"/>
    <w:p>
      <w:pPr>
        <w:pStyle w:val="Heading2"/>
      </w:pPr>
      <w:r>
        <w:rPr>
          <w:rFonts w:hint="eastAsia"/>
        </w:rPr>
        <w:t xml:space="preserve">第二部分：评审结果</w:t>
      </w:r>
    </w:p>
    <w:bookmarkStart w:id="11" w:name="经济报价汇总"/>
    <w:p>
      <w:pPr>
        <w:pStyle w:val="Heading3"/>
      </w:pPr>
      <w:r>
        <w:rPr>
          <w:rFonts w:hint="eastAsia"/>
        </w:rPr>
        <w:t xml:space="preserve">经济报价汇总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投标金额</w:t>
            </w:r>
            <w:r>
              <w:t xml:space="preserve"> (USD)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保证金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HEXING ELECTRICAL CO, LTD.</w:t>
            </w:r>
          </w:p>
        </w:tc>
        <w:tc>
          <w:tcPr/>
          <w:p>
            <w:pPr>
              <w:pStyle w:val="Compact"/>
            </w:pPr>
            <w:r>
              <w:t xml:space="preserve">$8,938,577.29</w:t>
            </w:r>
          </w:p>
        </w:tc>
        <w:tc>
          <w:tcPr/>
          <w:p>
            <w:pPr>
              <w:pStyle w:val="Compact"/>
            </w:pPr>
            <w:r>
              <w:t xml:space="preserve">$95,881.69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符合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MEGAWATT DOMINICANA JLR, S.R.L.</w:t>
            </w:r>
          </w:p>
        </w:tc>
        <w:tc>
          <w:tcPr/>
          <w:p>
            <w:pPr>
              <w:pStyle w:val="Compact"/>
            </w:pPr>
            <w:r>
              <w:t xml:space="preserve">$8,275,466.14</w:t>
            </w:r>
          </w:p>
        </w:tc>
        <w:tc>
          <w:tcPr/>
          <w:p>
            <w:pPr>
              <w:pStyle w:val="Compact"/>
            </w:pPr>
            <w:r>
              <w:t xml:space="preserve">$100,000.00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符合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CONSORCIO KEIKO-ACC</w:t>
            </w:r>
          </w:p>
        </w:tc>
        <w:tc>
          <w:tcPr/>
          <w:p>
            <w:pPr>
              <w:pStyle w:val="Compact"/>
            </w:pPr>
            <w:r>
              <w:t xml:space="preserve">$557,464.33</w:t>
            </w:r>
          </w:p>
        </w:tc>
        <w:tc>
          <w:tcPr/>
          <w:p>
            <w:pPr>
              <w:pStyle w:val="Compact"/>
            </w:pPr>
            <w:r>
              <w:t xml:space="preserve">$5,574.64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符合</w:t>
            </w:r>
          </w:p>
        </w:tc>
      </w:tr>
    </w:tbl>
    <w:bookmarkEnd w:id="11"/>
    <w:bookmarkStart w:id="12" w:name="各批次详细报价hexing"/>
    <w:p>
      <w:pPr>
        <w:pStyle w:val="Heading3"/>
      </w:pPr>
      <w:r>
        <w:rPr>
          <w:rFonts w:hint="eastAsia"/>
        </w:rPr>
        <w:t xml:space="preserve">各批次详细报价（HEXING）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</w:t>
            </w:r>
            <w:r>
              <w:t xml:space="preserve"> (USD)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总价</w:t>
            </w:r>
            <w:r>
              <w:t xml:space="preserve"> (USD)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与参考价差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居民单相电表</w:t>
            </w:r>
            <w:r>
              <w:t xml:space="preserve"> 240V, CL200</w:t>
            </w:r>
          </w:p>
        </w:tc>
        <w:tc>
          <w:tcPr/>
          <w:p>
            <w:pPr>
              <w:pStyle w:val="Compact"/>
            </w:pPr>
            <w:r>
              <w:t xml:space="preserve">164,000</w:t>
            </w:r>
          </w:p>
        </w:tc>
        <w:tc>
          <w:tcPr/>
          <w:p>
            <w:pPr>
              <w:pStyle w:val="Compact"/>
            </w:pPr>
            <w:r>
              <w:t xml:space="preserve">42.49</w:t>
            </w:r>
          </w:p>
        </w:tc>
        <w:tc>
          <w:tcPr/>
          <w:p>
            <w:pPr>
              <w:pStyle w:val="Compact"/>
            </w:pPr>
            <w:r>
              <w:t xml:space="preserve">8,222,664.80</w:t>
            </w:r>
          </w:p>
        </w:tc>
        <w:tc>
          <w:tcPr/>
          <w:p>
            <w:pPr>
              <w:pStyle w:val="Compact"/>
            </w:pPr>
            <w:r>
              <w:t xml:space="preserve">-6%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居民三相电表</w:t>
            </w:r>
            <w:r>
              <w:t xml:space="preserve"> 208V, CL200</w:t>
            </w:r>
          </w:p>
        </w:tc>
        <w:tc>
          <w:tcPr/>
          <w:p>
            <w:pPr>
              <w:pStyle w:val="Compact"/>
            </w:pPr>
            <w:r>
              <w:t xml:space="preserve">2,400</w:t>
            </w:r>
          </w:p>
        </w:tc>
        <w:tc>
          <w:tcPr/>
          <w:p>
            <w:pPr>
              <w:pStyle w:val="Compact"/>
            </w:pPr>
            <w:r>
              <w:t xml:space="preserve">48.46</w:t>
            </w:r>
          </w:p>
        </w:tc>
        <w:tc>
          <w:tcPr/>
          <w:p>
            <w:pPr>
              <w:pStyle w:val="Compact"/>
            </w:pPr>
            <w:r>
              <w:t xml:space="preserve">137,238.72</w:t>
            </w:r>
          </w:p>
        </w:tc>
        <w:tc>
          <w:tcPr/>
          <w:p>
            <w:pPr>
              <w:pStyle w:val="Compact"/>
            </w:pPr>
            <w:r>
              <w:t xml:space="preserve">-6%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预付费电表</w:t>
            </w:r>
            <w:r>
              <w:t xml:space="preserve"> 240V, CL20</w:t>
            </w:r>
          </w:p>
        </w:tc>
        <w:tc>
          <w:tcPr/>
          <w:p>
            <w:pPr>
              <w:pStyle w:val="Compact"/>
            </w:pPr>
            <w:r>
              <w:t xml:space="preserve">2,000</w:t>
            </w:r>
          </w:p>
        </w:tc>
        <w:tc>
          <w:tcPr/>
          <w:p>
            <w:pPr>
              <w:pStyle w:val="Compact"/>
            </w:pPr>
            <w:r>
              <w:t xml:space="preserve">39.04</w:t>
            </w:r>
          </w:p>
        </w:tc>
        <w:tc>
          <w:tcPr/>
          <w:p>
            <w:pPr>
              <w:pStyle w:val="Compact"/>
            </w:pPr>
            <w:r>
              <w:t xml:space="preserve">92,134.40</w:t>
            </w:r>
          </w:p>
        </w:tc>
        <w:tc>
          <w:tcPr/>
          <w:p>
            <w:pPr>
              <w:pStyle w:val="Compact"/>
            </w:pPr>
            <w:r>
              <w:t xml:space="preserve">-13%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工业电表</w:t>
            </w:r>
            <w:r>
              <w:t xml:space="preserve"> 69-480V, FM16S</w:t>
            </w:r>
          </w:p>
        </w:tc>
        <w:tc>
          <w:tcPr/>
          <w:p>
            <w:pPr>
              <w:pStyle w:val="Compact"/>
            </w:pPr>
            <w:r>
              <w:t xml:space="preserve">2,520</w:t>
            </w:r>
          </w:p>
        </w:tc>
        <w:tc>
          <w:tcPr/>
          <w:p>
            <w:pPr>
              <w:pStyle w:val="Compact"/>
            </w:pPr>
            <w:r>
              <w:t xml:space="preserve">51.95</w:t>
            </w:r>
          </w:p>
        </w:tc>
        <w:tc>
          <w:tcPr/>
          <w:p>
            <w:pPr>
              <w:pStyle w:val="Compact"/>
            </w:pPr>
            <w:r>
              <w:t xml:space="preserve">154,478.52</w:t>
            </w:r>
          </w:p>
        </w:tc>
        <w:tc>
          <w:tcPr/>
          <w:p>
            <w:pPr>
              <w:pStyle w:val="Compact"/>
            </w:pPr>
            <w:r>
              <w:t xml:space="preserve">-8%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工业电表</w:t>
            </w:r>
            <w:r>
              <w:t xml:space="preserve"> 120-480V, FM12S</w:t>
            </w:r>
          </w:p>
        </w:tc>
        <w:tc>
          <w:tcPr/>
          <w:p>
            <w:pPr>
              <w:pStyle w:val="Compact"/>
            </w:pPr>
            <w:r>
              <w:t xml:space="preserve">1,200</w:t>
            </w:r>
          </w:p>
        </w:tc>
        <w:tc>
          <w:tcPr/>
          <w:p>
            <w:pPr>
              <w:pStyle w:val="Compact"/>
            </w:pPr>
            <w:r>
              <w:t xml:space="preserve">55.48</w:t>
            </w:r>
          </w:p>
        </w:tc>
        <w:tc>
          <w:tcPr/>
          <w:p>
            <w:pPr>
              <w:pStyle w:val="Compact"/>
            </w:pPr>
            <w:r>
              <w:t xml:space="preserve">78,559.68</w:t>
            </w:r>
          </w:p>
        </w:tc>
        <w:tc>
          <w:tcPr/>
          <w:p>
            <w:pPr>
              <w:pStyle w:val="Compact"/>
            </w:pPr>
            <w:r>
              <w:t xml:space="preserve">-21%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MBIT三相电表</w:t>
            </w:r>
          </w:p>
        </w:tc>
        <w:tc>
          <w:tcPr/>
          <w:p>
            <w:pPr>
              <w:pStyle w:val="Compact"/>
            </w:pPr>
            <w:r>
              <w:t xml:space="preserve">3,450</w:t>
            </w:r>
          </w:p>
        </w:tc>
        <w:tc>
          <w:tcPr/>
          <w:p>
            <w:pPr>
              <w:pStyle w:val="Compact"/>
            </w:pPr>
            <w:r>
              <w:t xml:space="preserve">62.27</w:t>
            </w:r>
          </w:p>
        </w:tc>
        <w:tc>
          <w:tcPr/>
          <w:p>
            <w:pPr>
              <w:pStyle w:val="Compact"/>
            </w:pPr>
            <w:r>
              <w:t xml:space="preserve">253,501.17</w:t>
            </w:r>
          </w:p>
        </w:tc>
        <w:tc>
          <w:tcPr/>
          <w:p>
            <w:pPr>
              <w:pStyle w:val="Compact"/>
            </w:pPr>
            <w:r>
              <w:t xml:space="preserve">-21%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2"/>
    <w:bookmarkEnd w:id="13"/>
    <w:bookmarkStart w:id="16" w:name="第三部分中标结果"/>
    <w:p>
      <w:pPr>
        <w:pStyle w:val="Heading2"/>
      </w:pPr>
      <w:r>
        <w:rPr>
          <w:rFonts w:hint="eastAsia"/>
        </w:rPr>
        <w:t xml:space="preserve">第三部分：中标结果</w:t>
      </w:r>
    </w:p>
    <w:p>
      <w:pPr>
        <w:pStyle w:val="FirstParagraph"/>
      </w:pPr>
      <w:r>
        <w:rPr>
          <w:rFonts w:hint="eastAsia"/>
        </w:rPr>
        <w:t xml:space="preserve">根据招标文件第19条，按最低价中标原则，最终分配如下：</w:t>
      </w:r>
    </w:p>
    <w:bookmarkStart w:id="14" w:name="hexing-electrical-co-ltd.-中标"/>
    <w:p>
      <w:pPr>
        <w:pStyle w:val="Heading3"/>
      </w:pPr>
      <w:r>
        <w:t xml:space="preserve">HEXING ELECTRICAL CO, LTD. </w:t>
      </w:r>
      <w:r>
        <w:rPr>
          <w:rFonts w:hint="eastAsia"/>
        </w:rPr>
        <w:t xml:space="preserve">中标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</w:t>
            </w:r>
            <w:r>
              <w:t xml:space="preserve"> (USD)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总价</w:t>
            </w:r>
            <w:r>
              <w:t xml:space="preserve"> (USD, </w:t>
            </w:r>
            <w:r>
              <w:rPr>
                <w:rFonts w:hint="eastAsia"/>
              </w:rPr>
              <w:t xml:space="preserve">含税)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预付费电表</w:t>
            </w:r>
            <w:r>
              <w:t xml:space="preserve"> 240V, CL20, F4S</w:t>
            </w:r>
          </w:p>
        </w:tc>
        <w:tc>
          <w:tcPr/>
          <w:p>
            <w:pPr>
              <w:pStyle w:val="Compact"/>
            </w:pPr>
            <w:r>
              <w:t xml:space="preserve">2,000</w:t>
            </w:r>
          </w:p>
        </w:tc>
        <w:tc>
          <w:tcPr/>
          <w:p>
            <w:pPr>
              <w:pStyle w:val="Compact"/>
            </w:pPr>
            <w:r>
              <w:t xml:space="preserve">39.04</w:t>
            </w:r>
          </w:p>
        </w:tc>
        <w:tc>
          <w:tcPr/>
          <w:p>
            <w:pPr>
              <w:pStyle w:val="Compact"/>
            </w:pPr>
            <w:r>
              <w:t xml:space="preserve">92,134.40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工业电表</w:t>
            </w:r>
            <w:r>
              <w:t xml:space="preserve"> 120-480V, FM12S</w:t>
            </w:r>
          </w:p>
        </w:tc>
        <w:tc>
          <w:tcPr/>
          <w:p>
            <w:pPr>
              <w:pStyle w:val="Compact"/>
            </w:pPr>
            <w:r>
              <w:t xml:space="preserve">1,200</w:t>
            </w:r>
          </w:p>
        </w:tc>
        <w:tc>
          <w:tcPr/>
          <w:p>
            <w:pPr>
              <w:pStyle w:val="Compact"/>
            </w:pPr>
            <w:r>
              <w:t xml:space="preserve">55.48</w:t>
            </w:r>
          </w:p>
        </w:tc>
        <w:tc>
          <w:tcPr/>
          <w:p>
            <w:pPr>
              <w:pStyle w:val="Compact"/>
            </w:pPr>
            <w:r>
              <w:t xml:space="preserve">78,559.68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$170,694.08</w:t>
            </w:r>
          </w:p>
        </w:tc>
      </w:tr>
    </w:tbl>
    <w:bookmarkEnd w:id="14"/>
    <w:bookmarkStart w:id="15" w:name="megawatt-dominicana-jlr-s.r.l.-中标"/>
    <w:p>
      <w:pPr>
        <w:pStyle w:val="Heading3"/>
      </w:pPr>
      <w:r>
        <w:t xml:space="preserve">MEGAWATT DOMINICANA JLR, S.R.L. </w:t>
      </w:r>
      <w:r>
        <w:rPr>
          <w:rFonts w:hint="eastAsia"/>
        </w:rPr>
        <w:t xml:space="preserve">中标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产品描述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</w:t>
            </w:r>
            <w:r>
              <w:t xml:space="preserve"> (USD)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总价</w:t>
            </w:r>
            <w:r>
              <w:t xml:space="preserve"> (USD, </w:t>
            </w:r>
            <w:r>
              <w:rPr>
                <w:rFonts w:hint="eastAsia"/>
              </w:rPr>
              <w:t xml:space="preserve">含税)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居民单相电表</w:t>
            </w:r>
            <w:r>
              <w:t xml:space="preserve"> 240V, CL200, F2S</w:t>
            </w:r>
          </w:p>
        </w:tc>
        <w:tc>
          <w:tcPr/>
          <w:p>
            <w:pPr>
              <w:pStyle w:val="Compact"/>
            </w:pPr>
            <w:r>
              <w:t xml:space="preserve">164,000</w:t>
            </w:r>
          </w:p>
        </w:tc>
        <w:tc>
          <w:tcPr/>
          <w:p>
            <w:pPr>
              <w:pStyle w:val="Compact"/>
            </w:pPr>
            <w:r>
              <w:t xml:space="preserve">39.54</w:t>
            </w:r>
          </w:p>
        </w:tc>
        <w:tc>
          <w:tcPr/>
          <w:p>
            <w:pPr>
              <w:pStyle w:val="Compact"/>
            </w:pPr>
            <w:r>
              <w:t xml:space="preserve">7,651,780.80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居民三相电表</w:t>
            </w:r>
            <w:r>
              <w:t xml:space="preserve"> 208V, CL200, F12S</w:t>
            </w:r>
          </w:p>
        </w:tc>
        <w:tc>
          <w:tcPr/>
          <w:p>
            <w:pPr>
              <w:pStyle w:val="Compact"/>
            </w:pPr>
            <w:r>
              <w:t xml:space="preserve">2,400</w:t>
            </w:r>
          </w:p>
        </w:tc>
        <w:tc>
          <w:tcPr/>
          <w:p>
            <w:pPr>
              <w:pStyle w:val="Compact"/>
            </w:pPr>
            <w:r>
              <w:t xml:space="preserve">44.83</w:t>
            </w:r>
          </w:p>
        </w:tc>
        <w:tc>
          <w:tcPr/>
          <w:p>
            <w:pPr>
              <w:pStyle w:val="Compact"/>
            </w:pPr>
            <w:r>
              <w:t xml:space="preserve">126,958.56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工业电表</w:t>
            </w:r>
            <w:r>
              <w:t xml:space="preserve"> 69-480V, FM16S</w:t>
            </w:r>
          </w:p>
        </w:tc>
        <w:tc>
          <w:tcPr/>
          <w:p>
            <w:pPr>
              <w:pStyle w:val="Compact"/>
            </w:pPr>
            <w:r>
              <w:t xml:space="preserve">2,520</w:t>
            </w:r>
          </w:p>
        </w:tc>
        <w:tc>
          <w:tcPr/>
          <w:p>
            <w:pPr>
              <w:pStyle w:val="Compact"/>
            </w:pPr>
            <w:r>
              <w:t xml:space="preserve">44.52</w:t>
            </w:r>
          </w:p>
        </w:tc>
        <w:tc>
          <w:tcPr/>
          <w:p>
            <w:pPr>
              <w:pStyle w:val="Compact"/>
            </w:pPr>
            <w:r>
              <w:t xml:space="preserve">132,384.67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MBIT三相电表</w:t>
            </w:r>
          </w:p>
        </w:tc>
        <w:tc>
          <w:tcPr/>
          <w:p>
            <w:pPr>
              <w:pStyle w:val="Compact"/>
            </w:pPr>
            <w:r>
              <w:t xml:space="preserve">3,450</w:t>
            </w:r>
          </w:p>
        </w:tc>
        <w:tc>
          <w:tcPr/>
          <w:p>
            <w:pPr>
              <w:pStyle w:val="Compact"/>
            </w:pPr>
            <w:r>
              <w:t xml:space="preserve">50.61</w:t>
            </w:r>
          </w:p>
        </w:tc>
        <w:tc>
          <w:tcPr/>
          <w:p>
            <w:pPr>
              <w:pStyle w:val="Compact"/>
            </w:pPr>
            <w:r>
              <w:t xml:space="preserve">206,033.31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$8,117,157.34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End w:id="16"/>
    <w:bookmarkStart w:id="17" w:name="第四部分法律条款"/>
    <w:p>
      <w:pPr>
        <w:pStyle w:val="Heading2"/>
      </w:pPr>
      <w:r>
        <w:rPr>
          <w:rFonts w:hint="eastAsia"/>
        </w:rPr>
        <w:t xml:space="preserve">第四部分：法律条款</w:t>
      </w:r>
    </w:p>
    <w:p>
      <w:pPr>
        <w:pStyle w:val="FirstParagraph"/>
      </w:pPr>
      <w:r>
        <w:rPr>
          <w:rFonts w:hint="eastAsia"/>
        </w:rPr>
        <w:t xml:space="preserve">根据2013年8月6日第107-13号法律《公众与行政机关关系及行政程序法》第12条的规定，所有具有合法利益的投标人均可：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行政投诉：</w:t>
      </w:r>
      <w:r>
        <w:t xml:space="preserve"> </w:t>
      </w:r>
      <w:r>
        <w:rPr>
          <w:rFonts w:hint="eastAsia"/>
        </w:rPr>
        <w:t xml:space="preserve">向本委员会提出行政申诉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上诉：</w:t>
      </w:r>
      <w:r>
        <w:t xml:space="preserve"> </w:t>
      </w:r>
      <w:r>
        <w:rPr>
          <w:rFonts w:hint="eastAsia"/>
        </w:rPr>
        <w:t xml:space="preserve">向公共采购总局（DGCP）提出上诉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司法救济：</w:t>
      </w:r>
      <w:r>
        <w:t xml:space="preserve"> </w:t>
      </w:r>
      <w:r>
        <w:rPr>
          <w:rFonts w:hint="eastAsia"/>
        </w:rPr>
        <w:t xml:space="preserve">向最高行政法院提起诉讼</w:t>
      </w:r>
    </w:p>
    <w:p>
      <w:pPr>
        <w:pStyle w:val="FirstParagraph"/>
      </w:pPr>
      <w:r>
        <w:rPr>
          <w:rFonts w:hint="eastAsia"/>
          <w:b/>
          <w:bCs/>
        </w:rPr>
        <w:t xml:space="preserve">申诉期限：</w:t>
      </w:r>
      <w:r>
        <w:t xml:space="preserve"> </w:t>
      </w:r>
      <w:r>
        <w:rPr>
          <w:rFonts w:hint="eastAsia"/>
        </w:rPr>
        <w:t xml:space="preserve">自本决议发布之日起30天内（依据2006年8月18日第340-06号法律第67条及相关条款）</w:t>
      </w:r>
    </w:p>
    <w:p>
      <w:r>
        <w:pict>
          <v:rect style="width:0;height:1.5pt" o:hralign="center" o:hrstd="t" o:hr="t"/>
        </w:pict>
      </w:r>
    </w:p>
    <w:bookmarkEnd w:id="17"/>
    <w:bookmarkStart w:id="18" w:name="决议签署"/>
    <w:p>
      <w:pPr>
        <w:pStyle w:val="Heading2"/>
      </w:pPr>
      <w:r>
        <w:rPr>
          <w:rFonts w:hint="eastAsia"/>
        </w:rPr>
        <w:t xml:space="preserve">决议签署</w:t>
      </w:r>
    </w:p>
    <w:p>
      <w:pPr>
        <w:pStyle w:val="FirstParagraph"/>
      </w:pPr>
      <w:r>
        <w:rPr>
          <w:rFonts w:hint="eastAsia"/>
          <w:b/>
          <w:bCs/>
        </w:rPr>
        <w:t xml:space="preserve">地点：</w:t>
      </w:r>
      <w:r>
        <w:t xml:space="preserve"> </w:t>
      </w:r>
      <w:r>
        <w:rPr>
          <w:rFonts w:hint="eastAsia"/>
        </w:rPr>
        <w:t xml:space="preserve">圣地亚哥德洛斯卡瓦耶罗斯，2025年12月19日</w:t>
      </w:r>
    </w:p>
    <w:p>
      <w:pPr>
        <w:pStyle w:val="BodyText"/>
      </w:pPr>
      <w:r>
        <w:rPr>
          <w:rFonts w:hint="eastAsia"/>
          <w:b/>
          <w:bCs/>
        </w:rPr>
        <w:t xml:space="preserve">签字：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Armando Hiraldo Arias</w:t>
      </w:r>
      <w:r>
        <w:t xml:space="preserve"> </w:t>
      </w:r>
      <w:r>
        <w:t xml:space="preserve">— </w:t>
      </w:r>
      <w:r>
        <w:rPr>
          <w:rFonts w:hint="eastAsia"/>
        </w:rPr>
        <w:t xml:space="preserve">代表总经理</w:t>
      </w:r>
      <w:r>
        <w:t xml:space="preserve"> Gustavo Adolfo Martínez Martínez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Marianny Cedano Paredes</w:t>
      </w:r>
      <w:r>
        <w:t xml:space="preserve"> </w:t>
      </w:r>
      <w:r>
        <w:t xml:space="preserve">— </w:t>
      </w:r>
      <w:r>
        <w:rPr>
          <w:rFonts w:hint="eastAsia"/>
        </w:rPr>
        <w:t xml:space="preserve">财务总监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Giovanna María Gómez Español</w:t>
      </w:r>
      <w:r>
        <w:t xml:space="preserve"> </w:t>
      </w:r>
      <w:r>
        <w:t xml:space="preserve">— </w:t>
      </w:r>
      <w:r>
        <w:rPr>
          <w:rFonts w:hint="eastAsia"/>
        </w:rPr>
        <w:t xml:space="preserve">法律服务总监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Gregorio de Jesús Ortega Grullón</w:t>
      </w:r>
      <w:r>
        <w:t xml:space="preserve"> </w:t>
      </w:r>
      <w:r>
        <w:t xml:space="preserve">— </w:t>
      </w:r>
      <w:r>
        <w:rPr>
          <w:rFonts w:hint="eastAsia"/>
        </w:rPr>
        <w:t xml:space="preserve">规划与管控总监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Albert Joel Padilla Rosario</w:t>
      </w:r>
      <w:r>
        <w:t xml:space="preserve"> </w:t>
      </w:r>
      <w:r>
        <w:t xml:space="preserve">— </w:t>
      </w:r>
      <w:r>
        <w:rPr>
          <w:rFonts w:hint="eastAsia"/>
        </w:rPr>
        <w:t xml:space="preserve">公共信息开放专员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EDENORTE DOMINICANA, S.A.</w:t>
      </w:r>
      <w:r>
        <w:br/>
      </w:r>
      <w:r>
        <w:rPr>
          <w:rFonts w:hint="eastAsia"/>
        </w:rPr>
        <w:t xml:space="preserve">采购与合同委员会</w:t>
      </w:r>
      <w:r>
        <w:br/>
      </w:r>
      <w:r>
        <w:rPr>
          <w:rFonts w:hint="eastAsia"/>
        </w:rPr>
        <w:t xml:space="preserve">项目编号：EDENORTE-MAE-PEEN-2025-0004</w:t>
      </w:r>
      <w:r>
        <w:br/>
      </w:r>
      <w:r>
        <w:rPr>
          <w:rFonts w:hint="eastAsia"/>
        </w:rPr>
        <w:t xml:space="preserve">第7页共7页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2026-04-07T01:05:50Z</dcterms:created>
  <dcterms:modified xsi:type="dcterms:W3CDTF">2026-04-07T01:05:50Z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