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CIRCULAR DE RESPUESTAS - 翻译</w:t>
      </w:r>
    </w:p>
    <w:p>
      <w:r>
        <w:t>文件编号: SNC.D.016</w:t>
      </w:r>
    </w:p>
    <w:p>
      <w:r>
        <w:t>项目编号: FIDEICOMISO-CCC-LPN-2026-0001</w:t>
      </w:r>
    </w:p>
    <w:p/>
    <w:p>
      <w:pPr>
        <w:pStyle w:val="Heading1"/>
      </w:pPr>
      <w:r>
        <w:t>一、会议信息</w:t>
      </w:r>
    </w:p>
    <w:p>
      <w:r>
        <w:t>• 日期: 2026年2月26日（周四）上午8:30</w:t>
      </w:r>
    </w:p>
    <w:p>
      <w:r>
        <w:t>• 地点: FIDEICOMISO RD VIAL办公室（圣多明戈）</w:t>
      </w:r>
    </w:p>
    <w:p>
      <w:pPr>
        <w:pStyle w:val="Heading1"/>
      </w:pPr>
      <w:r>
        <w:t>二、参会人员</w:t>
      </w:r>
    </w:p>
    <w:p>
      <w:r>
        <w:t>• 主席: Hostos José Rizik Lugo</w:t>
      </w:r>
    </w:p>
    <w:p>
      <w:r>
        <w:t>• 成员: Antonio Manuel Camilo Toca（行政总监）</w:t>
      </w:r>
    </w:p>
    <w:p>
      <w:r>
        <w:t>• 成员: Génesis Rocío Acosta Peña（法务总监）</w:t>
      </w:r>
    </w:p>
    <w:p>
      <w:r>
        <w:t>• 成员: Junior José Mora Ureña（财务总监）</w:t>
      </w:r>
    </w:p>
    <w:p>
      <w:r>
        <w:t>• 成员: Kinller Emmanuel Moquete Perez（规划发展总监）</w:t>
      </w:r>
    </w:p>
    <w:p>
      <w:r>
        <w:t>• 成员: Jose Vicente Chuan Hernández（信息获取负责人）</w:t>
      </w:r>
    </w:p>
    <w:p>
      <w:pPr>
        <w:pStyle w:val="Heading1"/>
      </w:pPr>
      <w:r>
        <w:t>三、议题：批准招标答疑文件</w:t>
      </w:r>
    </w:p>
    <w:p>
      <w:r>
        <w:t>法律依据:</w:t>
      </w:r>
    </w:p>
    <w:p>
      <w:r>
        <w:t>- 第416-23号法规第61条第4款</w:t>
      </w:r>
    </w:p>
    <w:p>
      <w:r>
        <w:t>- 第107条关于补充条款的规定</w:t>
      </w:r>
    </w:p>
    <w:p>
      <w:pPr>
        <w:pStyle w:val="Heading1"/>
      </w:pPr>
      <w:r>
        <w:t>四、问答内容</w:t>
      </w:r>
    </w:p>
    <w:p>
      <w:r>
        <w:t>问题1: 2、3、4标段的灯具流明要求是多少？</w:t>
      </w:r>
    </w:p>
    <w:p>
      <w:r>
        <w:t>答复: 最低亮度要求为160流明/瓦</w:t>
      </w:r>
    </w:p>
    <w:p/>
    <w:p>
      <w:r>
        <w:t>问题2: 是否需要运动传感器？</w:t>
      </w:r>
    </w:p>
    <w:p>
      <w:r>
        <w:t>答复: 灯具必须配备运动传感器，可根据机构要求编程</w:t>
      </w:r>
    </w:p>
    <w:p>
      <w:pPr>
        <w:pStyle w:val="Heading1"/>
      </w:pPr>
      <w:r>
        <w:t>五、关于20%库存要求</w:t>
      </w:r>
    </w:p>
    <w:p>
      <w:r>
        <w:t>投标人反对理由:</w:t>
      </w:r>
    </w:p>
    <w:p>
      <w:r>
        <w:t>1. 违反比例原则 - 要求投标前持有20%库存是不合理的经济负担</w:t>
      </w:r>
    </w:p>
    <w:p>
      <w:r>
        <w:t>2. 技术层面无紧迫性 - 工程施工从测量、开挖、基础安装开始，灯具安装是后期工序</w:t>
      </w:r>
    </w:p>
    <w:p>
      <w:r>
        <w:t>3. 违反自由竞争 - 第47-25号法律禁止不合理限制参与</w:t>
      </w:r>
    </w:p>
    <w:p>
      <w:r>
        <w:t>招标方答复: 维持20%库存要求</w:t>
      </w:r>
    </w:p>
    <w:p>
      <w:r>
        <w:t>• 仅占总量的20%，非全部库存</w:t>
      </w:r>
    </w:p>
    <w:p>
      <w:r>
        <w:t>• 确保项目及时启动</w:t>
      </w:r>
    </w:p>
    <w:p>
      <w:r>
        <w:t>• 公共照明涉及交通安全</w:t>
      </w:r>
    </w:p>
    <w:p>
      <w:pPr>
        <w:pStyle w:val="Heading1"/>
      </w:pPr>
      <w:r>
        <w:t>六、技术规格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</w:t>
            </w:r>
          </w:p>
        </w:tc>
        <w:tc>
          <w:tcPr>
            <w:tcW w:type="dxa" w:w="4320"/>
          </w:tcPr>
          <w:p>
            <w:r>
              <w:t>要求</w:t>
            </w:r>
          </w:p>
        </w:tc>
      </w:tr>
      <w:tr>
        <w:tc>
          <w:tcPr>
            <w:tcW w:type="dxa" w:w="4320"/>
          </w:tcPr>
          <w:p>
            <w:r>
              <w:t>太阳能板</w:t>
            </w:r>
          </w:p>
        </w:tc>
        <w:tc>
          <w:tcPr>
            <w:tcW w:type="dxa" w:w="4320"/>
          </w:tcPr>
          <w:p>
            <w:r>
              <w:t>高效单晶硅，18V/150W，寿命20年</w:t>
            </w:r>
          </w:p>
        </w:tc>
      </w:tr>
      <w:tr>
        <w:tc>
          <w:tcPr>
            <w:tcW w:type="dxa" w:w="4320"/>
          </w:tcPr>
          <w:p>
            <w:r>
              <w:t>电池</w:t>
            </w:r>
          </w:p>
        </w:tc>
        <w:tc>
          <w:tcPr>
            <w:tcW w:type="dxa" w:w="4320"/>
          </w:tcPr>
          <w:p>
            <w:r>
              <w:t>锂电池LiFePo4 12.5V/75AH</w:t>
            </w:r>
          </w:p>
        </w:tc>
      </w:tr>
      <w:tr>
        <w:tc>
          <w:tcPr>
            <w:tcW w:type="dxa" w:w="4320"/>
          </w:tcPr>
          <w:p>
            <w:r>
              <w:t>充电时间</w:t>
            </w:r>
          </w:p>
        </w:tc>
        <w:tc>
          <w:tcPr>
            <w:tcW w:type="dxa" w:w="4320"/>
          </w:tcPr>
          <w:p>
            <w:r>
              <w:t>8小时</w:t>
            </w:r>
          </w:p>
        </w:tc>
      </w:tr>
      <w:tr>
        <w:tc>
          <w:tcPr>
            <w:tcW w:type="dxa" w:w="4320"/>
          </w:tcPr>
          <w:p>
            <w:r>
              <w:t>电池寿命</w:t>
            </w:r>
          </w:p>
        </w:tc>
        <w:tc>
          <w:tcPr>
            <w:tcW w:type="dxa" w:w="4320"/>
          </w:tcPr>
          <w:p>
            <w:r>
              <w:t>最少4年</w:t>
            </w:r>
          </w:p>
        </w:tc>
      </w:tr>
      <w:tr>
        <w:tc>
          <w:tcPr>
            <w:tcW w:type="dxa" w:w="4320"/>
          </w:tcPr>
          <w:p>
            <w:r>
              <w:t>续航能力</w:t>
            </w:r>
          </w:p>
        </w:tc>
        <w:tc>
          <w:tcPr>
            <w:tcW w:type="dxa" w:w="4320"/>
          </w:tcPr>
          <w:p>
            <w:r>
              <w:t>3天（无充电12小时循环）</w:t>
            </w:r>
          </w:p>
        </w:tc>
      </w:tr>
      <w:tr>
        <w:tc>
          <w:tcPr>
            <w:tcW w:type="dxa" w:w="4320"/>
          </w:tcPr>
          <w:p>
            <w:r>
              <w:t>LED亮度</w:t>
            </w:r>
          </w:p>
        </w:tc>
        <w:tc>
          <w:tcPr>
            <w:tcW w:type="dxa" w:w="4320"/>
          </w:tcPr>
          <w:p>
            <w:r>
              <w:t>160LM/W (12V 130W)</w:t>
            </w:r>
          </w:p>
        </w:tc>
      </w:tr>
      <w:tr>
        <w:tc>
          <w:tcPr>
            <w:tcW w:type="dxa" w:w="4320"/>
          </w:tcPr>
          <w:p>
            <w:r>
              <w:t>色温</w:t>
            </w:r>
          </w:p>
        </w:tc>
        <w:tc>
          <w:tcPr>
            <w:tcW w:type="dxa" w:w="4320"/>
          </w:tcPr>
          <w:p>
            <w:r>
              <w:t>6000-6500K</w:t>
            </w:r>
          </w:p>
        </w:tc>
      </w:tr>
      <w:tr>
        <w:tc>
          <w:tcPr>
            <w:tcW w:type="dxa" w:w="4320"/>
          </w:tcPr>
          <w:p>
            <w:r>
              <w:t>控制器</w:t>
            </w:r>
          </w:p>
        </w:tc>
        <w:tc>
          <w:tcPr>
            <w:tcW w:type="dxa" w:w="4320"/>
          </w:tcPr>
          <w:p>
            <w:r>
              <w:t>MPPT智能控制器IP68</w:t>
            </w:r>
          </w:p>
        </w:tc>
      </w:tr>
      <w:tr>
        <w:tc>
          <w:tcPr>
            <w:tcW w:type="dxa" w:w="4320"/>
          </w:tcPr>
          <w:p>
            <w:r>
              <w:t>安装高度</w:t>
            </w:r>
          </w:p>
        </w:tc>
        <w:tc>
          <w:tcPr>
            <w:tcW w:type="dxa" w:w="4320"/>
          </w:tcPr>
          <w:p>
            <w:r>
              <w:t>25-40英尺</w:t>
            </w:r>
          </w:p>
        </w:tc>
      </w:tr>
      <w:tr>
        <w:tc>
          <w:tcPr>
            <w:tcW w:type="dxa" w:w="4320"/>
          </w:tcPr>
          <w:p>
            <w:r>
              <w:t>认证</w:t>
            </w:r>
          </w:p>
        </w:tc>
        <w:tc>
          <w:tcPr>
            <w:tcW w:type="dxa" w:w="4320"/>
          </w:tcPr>
          <w:p>
            <w:r>
              <w:t>IP65/CE/ROSH/FCC/ISO9001</w:t>
            </w:r>
          </w:p>
        </w:tc>
      </w:tr>
      <w:tr>
        <w:tc>
          <w:tcPr>
            <w:tcW w:type="dxa" w:w="4320"/>
          </w:tcPr>
          <w:p>
            <w:r>
              <w:t>摄像头分辨率</w:t>
            </w:r>
          </w:p>
        </w:tc>
        <w:tc>
          <w:tcPr>
            <w:tcW w:type="dxa" w:w="4320"/>
          </w:tcPr>
          <w:p>
            <w:r>
              <w:t>400万像素</w:t>
            </w:r>
          </w:p>
        </w:tc>
      </w:tr>
      <w:tr>
        <w:tc>
          <w:tcPr>
            <w:tcW w:type="dxa" w:w="4320"/>
          </w:tcPr>
          <w:p>
            <w:r>
              <w:t>摄像头接口</w:t>
            </w:r>
          </w:p>
        </w:tc>
        <w:tc>
          <w:tcPr>
            <w:tcW w:type="dxa" w:w="4320"/>
          </w:tcPr>
          <w:p>
            <w:r>
              <w:t>WiFi 2.4GHz + 网口</w:t>
            </w:r>
          </w:p>
        </w:tc>
      </w:tr>
      <w:tr>
        <w:tc>
          <w:tcPr>
            <w:tcW w:type="dxa" w:w="4320"/>
          </w:tcPr>
          <w:p>
            <w:r>
              <w:t>视频压缩</w:t>
            </w:r>
          </w:p>
        </w:tc>
        <w:tc>
          <w:tcPr>
            <w:tcW w:type="dxa" w:w="4320"/>
          </w:tcPr>
          <w:p>
            <w:r>
              <w:t>H.265/H.264</w:t>
            </w:r>
          </w:p>
        </w:tc>
      </w:tr>
      <w:tr>
        <w:tc>
          <w:tcPr>
            <w:tcW w:type="dxa" w:w="4320"/>
          </w:tcPr>
          <w:p>
            <w:r>
              <w:t>协议</w:t>
            </w:r>
          </w:p>
        </w:tc>
        <w:tc>
          <w:tcPr>
            <w:tcW w:type="dxa" w:w="4320"/>
          </w:tcPr>
          <w:p>
            <w:r>
              <w:t>ONVIF/P2P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