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4" w:name="Xd3b51d68f650c3ad630ae03b3d923db2d4ebd5e"/>
    <w:p>
      <w:pPr>
        <w:pStyle w:val="Heading1"/>
      </w:pPr>
      <w:r>
        <w:t xml:space="preserve">BID Public Lighting Remote Management System - Statement of Work (English Translation)</w:t>
      </w:r>
    </w:p>
    <w:bookmarkStart w:id="9" w:name="project-information"/>
    <w:p>
      <w:pPr>
        <w:pStyle w:val="Heading2"/>
      </w:pPr>
      <w:r>
        <w:t xml:space="preserve">Project Information</w:t>
      </w:r>
    </w:p>
    <w:tbl>
      <w:tblPr>
        <w:tblStyle w:val="Table"/>
        <w:tblW w:type="pct" w:w="5000"/>
        <w:tblLayout w:type="fixed"/>
        <w:tblLook w:firstRow="1" w:lastRow="0" w:firstColumn="0" w:lastColumn="0" w:noHBand="0" w:noVBand="0" w:val="0020"/>
      </w:tblPr>
      <w:tblGrid>
        <w:gridCol w:w="3168"/>
        <w:gridCol w:w="4752"/>
      </w:tblGrid>
      <w:tr>
        <w:trPr>
          <w:tblHeader w:val="on"/>
        </w:trPr>
        <w:tc>
          <w:tcPr/>
          <w:p>
            <w:pPr>
              <w:pStyle w:val="Compact"/>
            </w:pPr>
            <w:r>
              <w:t xml:space="preserve">Item</w:t>
            </w:r>
          </w:p>
        </w:tc>
        <w:tc>
          <w:tcPr/>
          <w:p>
            <w:pPr>
              <w:pStyle w:val="Compact"/>
            </w:pPr>
            <w:r>
              <w:t xml:space="preserve">Details</w:t>
            </w:r>
          </w:p>
        </w:tc>
      </w:tr>
      <w:tr>
        <w:tc>
          <w:tcPr/>
          <w:p>
            <w:pPr>
              <w:pStyle w:val="Compact"/>
            </w:pPr>
            <w:r>
              <w:t xml:space="preserve">Project Name</w:t>
            </w:r>
          </w:p>
        </w:tc>
        <w:tc>
          <w:tcPr/>
          <w:p>
            <w:pPr>
              <w:pStyle w:val="Compact"/>
            </w:pPr>
            <w:r>
              <w:t xml:space="preserve">Public Lighting Remote Management System and Control Center</w:t>
            </w:r>
          </w:p>
        </w:tc>
      </w:tr>
      <w:tr>
        <w:tc>
          <w:tcPr/>
          <w:p>
            <w:pPr>
              <w:pStyle w:val="Compact"/>
            </w:pPr>
            <w:r>
              <w:t xml:space="preserve">Project No.</w:t>
            </w:r>
          </w:p>
        </w:tc>
        <w:tc>
          <w:tcPr/>
          <w:p>
            <w:pPr>
              <w:pStyle w:val="Compact"/>
            </w:pPr>
            <w:r>
              <w:t xml:space="preserve">LPI-MEM-BID-2026-002</w:t>
            </w:r>
          </w:p>
        </w:tc>
      </w:tr>
      <w:tr>
        <w:tc>
          <w:tcPr/>
          <w:p>
            <w:pPr>
              <w:pStyle w:val="Compact"/>
            </w:pPr>
            <w:r>
              <w:t xml:space="preserve">Financing</w:t>
            </w:r>
          </w:p>
        </w:tc>
        <w:tc>
          <w:tcPr/>
          <w:p>
            <w:pPr>
              <w:pStyle w:val="Compact"/>
            </w:pPr>
            <w:r>
              <w:t xml:space="preserve">BID 4962/OC-DR (Inter-American Development Bank) + JICA (Japan International Cooperation Agency)</w:t>
            </w:r>
          </w:p>
        </w:tc>
      </w:tr>
      <w:tr>
        <w:tc>
          <w:tcPr/>
          <w:p>
            <w:pPr>
              <w:pStyle w:val="Compact"/>
            </w:pPr>
            <w:r>
              <w:t xml:space="preserve">Executing Agency</w:t>
            </w:r>
          </w:p>
        </w:tc>
        <w:tc>
          <w:tcPr/>
          <w:p>
            <w:pPr>
              <w:pStyle w:val="Compact"/>
            </w:pPr>
            <w:r>
              <w:t xml:space="preserve">Ministry of Energy and Mines (MEMRD) - Project Executing Unit (UEP)</w:t>
            </w:r>
          </w:p>
        </w:tc>
      </w:tr>
      <w:tr>
        <w:tc>
          <w:tcPr/>
          <w:p>
            <w:pPr>
              <w:pStyle w:val="Compact"/>
            </w:pPr>
            <w:r>
              <w:t xml:space="preserve">Involved Companies</w:t>
            </w:r>
          </w:p>
        </w:tc>
        <w:tc>
          <w:tcPr/>
          <w:p>
            <w:pPr>
              <w:pStyle w:val="Compact"/>
            </w:pPr>
            <w:r>
              <w:t xml:space="preserve">EDESUR, EDENORTE, EDEESTE</w:t>
            </w:r>
          </w:p>
        </w:tc>
      </w:tr>
    </w:tbl>
    <w:p>
      <w:r>
        <w:pict>
          <v:rect style="width:0;height:1.5pt" o:hralign="center" o:hrstd="t" o:hr="t"/>
        </w:pict>
      </w:r>
    </w:p>
    <w:bookmarkEnd w:id="9"/>
    <w:bookmarkStart w:id="10" w:name="table-of-contents"/>
    <w:p>
      <w:pPr>
        <w:pStyle w:val="Heading2"/>
      </w:pPr>
      <w:r>
        <w:t xml:space="preserve">Table of Contents</w:t>
      </w:r>
    </w:p>
    <w:p>
      <w:pPr>
        <w:pStyle w:val="Compact"/>
        <w:numPr>
          <w:ilvl w:val="0"/>
          <w:numId w:val="1001"/>
        </w:numPr>
      </w:pPr>
      <w:r>
        <w:t xml:space="preserve">Background</w:t>
      </w:r>
    </w:p>
    <w:p>
      <w:pPr>
        <w:pStyle w:val="Compact"/>
        <w:numPr>
          <w:ilvl w:val="0"/>
          <w:numId w:val="1001"/>
        </w:numPr>
      </w:pPr>
      <w:r>
        <w:t xml:space="preserve">Introduction</w:t>
      </w:r>
    </w:p>
    <w:p>
      <w:pPr>
        <w:pStyle w:val="Compact"/>
        <w:numPr>
          <w:ilvl w:val="0"/>
          <w:numId w:val="1001"/>
        </w:numPr>
      </w:pPr>
      <w:r>
        <w:t xml:space="preserve">Objective</w:t>
      </w:r>
    </w:p>
    <w:p>
      <w:pPr>
        <w:pStyle w:val="Compact"/>
        <w:numPr>
          <w:ilvl w:val="0"/>
          <w:numId w:val="1001"/>
        </w:numPr>
      </w:pPr>
      <w:r>
        <w:t xml:space="preserve">Scope</w:t>
      </w:r>
    </w:p>
    <w:p>
      <w:pPr>
        <w:pStyle w:val="Compact"/>
        <w:numPr>
          <w:ilvl w:val="0"/>
          <w:numId w:val="1001"/>
        </w:numPr>
      </w:pPr>
      <w:r>
        <w:t xml:space="preserve">Execution Period</w:t>
      </w:r>
    </w:p>
    <w:p>
      <w:pPr>
        <w:pStyle w:val="Compact"/>
        <w:numPr>
          <w:ilvl w:val="0"/>
          <w:numId w:val="1001"/>
        </w:numPr>
      </w:pPr>
      <w:r>
        <w:t xml:space="preserve">Execution Location</w:t>
      </w:r>
    </w:p>
    <w:p>
      <w:pPr>
        <w:pStyle w:val="Compact"/>
        <w:numPr>
          <w:ilvl w:val="0"/>
          <w:numId w:val="1001"/>
        </w:numPr>
      </w:pPr>
      <w:r>
        <w:t xml:space="preserve">Technical and Functional Requirements</w:t>
      </w:r>
    </w:p>
    <w:p>
      <w:pPr>
        <w:pStyle w:val="Compact"/>
        <w:numPr>
          <w:ilvl w:val="0"/>
          <w:numId w:val="1001"/>
        </w:numPr>
      </w:pPr>
      <w:r>
        <w:t xml:space="preserve">Materials to Supply</w:t>
      </w:r>
    </w:p>
    <w:p>
      <w:pPr>
        <w:pStyle w:val="Compact"/>
        <w:numPr>
          <w:ilvl w:val="0"/>
          <w:numId w:val="1001"/>
        </w:numPr>
      </w:pPr>
      <w:r>
        <w:t xml:space="preserve">Warranty</w:t>
      </w:r>
    </w:p>
    <w:p>
      <w:pPr>
        <w:pStyle w:val="Compact"/>
        <w:numPr>
          <w:ilvl w:val="0"/>
          <w:numId w:val="1001"/>
        </w:numPr>
      </w:pPr>
      <w:r>
        <w:t xml:space="preserve">Structure and Personnel</w:t>
      </w:r>
    </w:p>
    <w:p>
      <w:pPr>
        <w:pStyle w:val="Compact"/>
        <w:numPr>
          <w:ilvl w:val="0"/>
          <w:numId w:val="1001"/>
        </w:numPr>
      </w:pPr>
      <w:r>
        <w:t xml:space="preserve">Brigades</w:t>
      </w:r>
    </w:p>
    <w:p>
      <w:pPr>
        <w:pStyle w:val="Compact"/>
        <w:numPr>
          <w:ilvl w:val="0"/>
          <w:numId w:val="1001"/>
        </w:numPr>
      </w:pPr>
      <w:r>
        <w:t xml:space="preserve">Work Requirements</w:t>
      </w:r>
    </w:p>
    <w:p>
      <w:pPr>
        <w:pStyle w:val="Compact"/>
        <w:numPr>
          <w:ilvl w:val="0"/>
          <w:numId w:val="1001"/>
        </w:numPr>
      </w:pPr>
      <w:r>
        <w:t xml:space="preserve">Regulatory, Environmental and Safety Requirements</w:t>
      </w:r>
    </w:p>
    <w:p>
      <w:pPr>
        <w:pStyle w:val="Compact"/>
        <w:numPr>
          <w:ilvl w:val="0"/>
          <w:numId w:val="1001"/>
        </w:numPr>
      </w:pPr>
      <w:r>
        <w:t xml:space="preserve">Schedule and Milestones</w:t>
      </w:r>
    </w:p>
    <w:p>
      <w:pPr>
        <w:pStyle w:val="Compact"/>
        <w:numPr>
          <w:ilvl w:val="0"/>
          <w:numId w:val="1001"/>
        </w:numPr>
      </w:pPr>
      <w:r>
        <w:t xml:space="preserve">Other Requirements</w:t>
      </w:r>
    </w:p>
    <w:p>
      <w:pPr>
        <w:pStyle w:val="Compact"/>
        <w:numPr>
          <w:ilvl w:val="0"/>
          <w:numId w:val="1001"/>
        </w:numPr>
      </w:pPr>
      <w:r>
        <w:t xml:space="preserve">Penalties and Sanctions</w:t>
      </w:r>
    </w:p>
    <w:p>
      <w:r>
        <w:pict>
          <v:rect style="width:0;height:1.5pt" o:hralign="center" o:hrstd="t" o:hr="t"/>
        </w:pict>
      </w:r>
    </w:p>
    <w:bookmarkEnd w:id="10"/>
    <w:bookmarkStart w:id="11" w:name="background"/>
    <w:p>
      <w:pPr>
        <w:pStyle w:val="Heading2"/>
      </w:pPr>
      <w:r>
        <w:t xml:space="preserve">1. Background</w:t>
      </w:r>
    </w:p>
    <w:p>
      <w:pPr>
        <w:pStyle w:val="FirstParagraph"/>
      </w:pPr>
      <w:r>
        <w:t xml:space="preserve">Within the framework of the National Development Strategy, national energy efficiency policies, and the sustainability policy of the electrical sector, the Government of the Dominican Republic is executing the</w:t>
      </w:r>
      <w:r>
        <w:t xml:space="preserve"> </w:t>
      </w:r>
      <w:r>
        <w:t xml:space="preserve">“Dominican Republic Energy Efficiency Program”</w:t>
      </w:r>
      <w:r>
        <w:t xml:space="preserve"> </w:t>
      </w:r>
      <w:r>
        <w:t xml:space="preserve">(DR-L1122), through the Project Executing Unit (UEP) of the Ministry of Energy and Mines (MEMRD) and the Project Directorates of EDESUR, EDENORTE, and EDEESTE, financed by the Inter-American Development Bank (BID) and the Japan International Cooperation Agency (JICA), with the aim of helping to define the necessity of modernizing public lighting management through the implementation of intelligent remote management and control centers. This initiative seeks to improve operational efficiency, reduce energy losses, optimize maintenance costs, and strengthen service quality, through the use of communication, monitoring, and remote control technologies for LED luminaires, aligned with international standards and current national regulations.</w:t>
      </w:r>
    </w:p>
    <w:p>
      <w:r>
        <w:pict>
          <v:rect style="width:0;height:1.5pt" o:hralign="center" o:hrstd="t" o:hr="t"/>
        </w:pict>
      </w:r>
    </w:p>
    <w:bookmarkEnd w:id="11"/>
    <w:bookmarkStart w:id="12" w:name="introduction"/>
    <w:p>
      <w:pPr>
        <w:pStyle w:val="Heading2"/>
      </w:pPr>
      <w:r>
        <w:t xml:space="preserve">2. Introduction</w:t>
      </w:r>
    </w:p>
    <w:p>
      <w:pPr>
        <w:pStyle w:val="FirstParagraph"/>
      </w:pPr>
      <w:r>
        <w:t xml:space="preserve">This Statement of Work defines the scope, activities, hardware, licenses, services, and success criteria to implement the</w:t>
      </w:r>
      <w:r>
        <w:t xml:space="preserve"> </w:t>
      </w:r>
      <w:r>
        <w:t xml:space="preserve">“Public Lighting Remote Management and Control Center”</w:t>
      </w:r>
      <w:r>
        <w:t xml:space="preserve"> </w:t>
      </w:r>
      <w:r>
        <w:t xml:space="preserve">project to be carried out in the concession areas of the EDEs.</w:t>
      </w:r>
    </w:p>
    <w:p>
      <w:r>
        <w:pict>
          <v:rect style="width:0;height:1.5pt" o:hralign="center" o:hrstd="t" o:hr="t"/>
        </w:pict>
      </w:r>
    </w:p>
    <w:bookmarkEnd w:id="12"/>
    <w:bookmarkStart w:id="13" w:name="objective"/>
    <w:p>
      <w:pPr>
        <w:pStyle w:val="Heading2"/>
      </w:pPr>
      <w:r>
        <w:t xml:space="preserve">3. Objective</w:t>
      </w:r>
    </w:p>
    <w:p>
      <w:pPr>
        <w:pStyle w:val="FirstParagraph"/>
      </w:pPr>
      <w:r>
        <w:t xml:space="preserve">The purpose of this process is the implementation of a public lighting control center in each of the EDEs. For this purpose, a communication and control node with NEMA 7-pin protocol will be installed in all LED technology luminaires. A total of 1,036 Gateway devices will be installed for the communication of luminaire monitoring data, using LoRaWAN, Zigbee, Wi-Sun, proprietary protocol, or any MESH network system. Each Gateway will group ≥200 luminaires, and communication with the data storage server will be made through supported RF technologies, LoRaWAN, Zigbee, Wi-Sun, proprietary protocol, or any MESH network system.</w:t>
      </w:r>
    </w:p>
    <w:p>
      <w:r>
        <w:pict>
          <v:rect style="width:0;height:1.5pt" o:hralign="center" o:hrstd="t" o:hr="t"/>
        </w:pict>
      </w:r>
    </w:p>
    <w:bookmarkEnd w:id="13"/>
    <w:bookmarkStart w:id="17" w:name="scope"/>
    <w:p>
      <w:pPr>
        <w:pStyle w:val="Heading2"/>
      </w:pPr>
      <w:r>
        <w:t xml:space="preserve">4. Scope</w:t>
      </w:r>
    </w:p>
    <w:bookmarkStart w:id="14" w:name="terrain-considerations"/>
    <w:p>
      <w:pPr>
        <w:pStyle w:val="Heading3"/>
      </w:pPr>
      <w:r>
        <w:t xml:space="preserve">Terrain Considerations:</w:t>
      </w:r>
    </w:p>
    <w:p>
      <w:pPr>
        <w:numPr>
          <w:ilvl w:val="0"/>
          <w:numId w:val="1002"/>
        </w:numPr>
      </w:pPr>
      <w:r>
        <w:rPr>
          <w:b/>
          <w:bCs/>
        </w:rPr>
        <w:t xml:space="preserve">Terrain Analysis</w:t>
      </w:r>
      <w:r>
        <w:t xml:space="preserve">: Analysis of orography, presence of obstacles, urban or rural characteristics, and any other physical element that may affect signal propagation.</w:t>
      </w:r>
    </w:p>
    <w:p>
      <w:pPr>
        <w:numPr>
          <w:ilvl w:val="0"/>
          <w:numId w:val="1002"/>
        </w:numPr>
      </w:pPr>
      <w:r>
        <w:rPr>
          <w:b/>
          <w:bCs/>
        </w:rPr>
        <w:t xml:space="preserve">Selected Technology Considerations</w:t>
      </w:r>
      <w:r>
        <w:t xml:space="preserve">: Evaluation of parameters specific to LoRaWAN, Zigbee, Wi-Sun, proprietary protocol, or MESH network systems (frequencies, transmission power, antenna types, propagation factors, among others).</w:t>
      </w:r>
    </w:p>
    <w:p>
      <w:pPr>
        <w:numPr>
          <w:ilvl w:val="0"/>
          <w:numId w:val="1002"/>
        </w:numPr>
      </w:pPr>
      <w:r>
        <w:rPr>
          <w:b/>
          <w:bCs/>
        </w:rPr>
        <w:t xml:space="preserve">Zone Typification</w:t>
      </w:r>
      <w:r>
        <w:t xml:space="preserve">: Classification of the study area based on its morphology (urban, peri-urban, rural, industrial, forest, etc.) to simulate differentiated behaviors when necessary.</w:t>
      </w:r>
    </w:p>
    <w:p>
      <w:pPr>
        <w:numPr>
          <w:ilvl w:val="0"/>
          <w:numId w:val="1002"/>
        </w:numPr>
      </w:pPr>
      <w:r>
        <w:rPr>
          <w:b/>
          <w:bCs/>
        </w:rPr>
        <w:t xml:space="preserve">Location Proposal and Analysis</w:t>
      </w:r>
      <w:r>
        <w:t xml:space="preserve">: Identification of possible Gateway installation points, considering height, accessibility, available infrastructure, and coverage projection.</w:t>
      </w:r>
    </w:p>
    <w:p>
      <w:pPr>
        <w:numPr>
          <w:ilvl w:val="0"/>
          <w:numId w:val="1002"/>
        </w:numPr>
      </w:pPr>
      <w:r>
        <w:rPr>
          <w:b/>
          <w:bCs/>
        </w:rPr>
        <w:t xml:space="preserve">Other Relevant Parameters</w:t>
      </w:r>
      <w:r>
        <w:t xml:space="preserve">: Inclusion of any technical, regulatory, or logistical condition that may influence network deployment.</w:t>
      </w:r>
    </w:p>
    <w:p>
      <w:pPr>
        <w:numPr>
          <w:ilvl w:val="0"/>
          <w:numId w:val="1002"/>
        </w:numPr>
      </w:pPr>
      <w:r>
        <w:rPr>
          <w:b/>
          <w:bCs/>
        </w:rPr>
        <w:t xml:space="preserve">Simulation Configuration and Results Analysis</w:t>
      </w:r>
      <w:r>
        <w:t xml:space="preserve">: Execution of propagation models and coverage simulations, together with physical verification tests, to obtain an accurate assessment of expected performance.</w:t>
      </w:r>
    </w:p>
    <w:bookmarkEnd w:id="14"/>
    <w:bookmarkStart w:id="15" w:name="Xab73e2f78980953253307ce59306683d8e46e26"/>
    <w:p>
      <w:pPr>
        <w:pStyle w:val="Heading3"/>
      </w:pPr>
      <w:r>
        <w:t xml:space="preserve">Supply and Installation of Gateway Devices</w:t>
      </w:r>
    </w:p>
    <w:p>
      <w:pPr>
        <w:pStyle w:val="FirstParagraph"/>
      </w:pPr>
      <w:r>
        <w:t xml:space="preserve">The awardee must also supply and install a total of 1,036 Gateway devices with LoRaWAN, Zigbee, Wi-Sun, proprietary protocol, or MESH network system, strategically located to optimize coverage and efficiency of the communication network. Each Gateway shall be configured to manage a maximum of 200 luminaires, with communication parameters correctly assigned and verified. Installations must comply with weather protection requirements and have stable electrical power supply. Before commissioning, reach and reliability tests shall be performed to confirm coverage and performance communication with the corresponding luminaires.</w:t>
      </w:r>
    </w:p>
    <w:bookmarkEnd w:id="15"/>
    <w:bookmarkStart w:id="16" w:name="data-communication-configuration"/>
    <w:p>
      <w:pPr>
        <w:pStyle w:val="Heading3"/>
      </w:pPr>
      <w:r>
        <w:t xml:space="preserve">Data Communication Configuration</w:t>
      </w:r>
    </w:p>
    <w:p>
      <w:pPr>
        <w:pStyle w:val="FirstParagraph"/>
      </w:pPr>
      <w:r>
        <w:t xml:space="preserve">Regarding data communication, the contractor must establish transmission via mobile network, prioritizing LoRaWAN, Zigbee, Wi-Sun technologies.</w:t>
      </w:r>
    </w:p>
    <w:p>
      <w:r>
        <w:pict>
          <v:rect style="width:0;height:1.5pt" o:hralign="center" o:hrstd="t" o:hr="t"/>
        </w:pict>
      </w:r>
    </w:p>
    <w:bookmarkEnd w:id="16"/>
    <w:bookmarkEnd w:id="17"/>
    <w:bookmarkStart w:id="18" w:name="execution-period"/>
    <w:p>
      <w:pPr>
        <w:pStyle w:val="Heading2"/>
      </w:pPr>
      <w:r>
        <w:t xml:space="preserve">5. Execution Period</w:t>
      </w:r>
    </w:p>
    <w:p>
      <w:pPr>
        <w:pStyle w:val="FirstParagraph"/>
      </w:pPr>
      <w:r>
        <w:rPr>
          <w:i/>
          <w:iCs/>
        </w:rPr>
        <w:t xml:space="preserve">(To be determined)</w:t>
      </w:r>
    </w:p>
    <w:p>
      <w:r>
        <w:pict>
          <v:rect style="width:0;height:1.5pt" o:hralign="center" o:hrstd="t" o:hr="t"/>
        </w:pict>
      </w:r>
    </w:p>
    <w:bookmarkEnd w:id="18"/>
    <w:bookmarkStart w:id="19" w:name="execution-location"/>
    <w:p>
      <w:pPr>
        <w:pStyle w:val="Heading2"/>
      </w:pPr>
      <w:r>
        <w:t xml:space="preserve">6. Execution Location</w:t>
      </w:r>
    </w:p>
    <w:p>
      <w:pPr>
        <w:pStyle w:val="FirstParagraph"/>
      </w:pPr>
      <w:r>
        <w:t xml:space="preserve">In the concession areas of EDESUR, EDENORTE, and EDEESTE.</w:t>
      </w:r>
    </w:p>
    <w:p>
      <w:r>
        <w:pict>
          <v:rect style="width:0;height:1.5pt" o:hralign="center" o:hrstd="t" o:hr="t"/>
        </w:pict>
      </w:r>
    </w:p>
    <w:bookmarkEnd w:id="19"/>
    <w:bookmarkStart w:id="25" w:name="technical-and-functional-requirements"/>
    <w:p>
      <w:pPr>
        <w:pStyle w:val="Heading2"/>
      </w:pPr>
      <w:r>
        <w:t xml:space="preserve">7. Technical and Functional Requirements</w:t>
      </w:r>
    </w:p>
    <w:bookmarkStart w:id="20" w:name="physicalhardware-requirements"/>
    <w:p>
      <w:pPr>
        <w:pStyle w:val="Heading3"/>
      </w:pPr>
      <w:r>
        <w:t xml:space="preserve">7.1 Physical/Hardware Requirements</w:t>
      </w:r>
    </w:p>
    <w:p>
      <w:pPr>
        <w:pStyle w:val="FirstParagraph"/>
      </w:pPr>
      <w:r>
        <w:rPr>
          <w:i/>
          <w:iCs/>
        </w:rPr>
        <w:t xml:space="preserve">(To be detailed)</w:t>
      </w:r>
    </w:p>
    <w:bookmarkEnd w:id="20"/>
    <w:bookmarkStart w:id="21" w:name="X7765cecff3de4a795870336213e6213cf399798"/>
    <w:p>
      <w:pPr>
        <w:pStyle w:val="Heading3"/>
      </w:pPr>
      <w:r>
        <w:t xml:space="preserve">7.2 Technological Infrastructure Requirements</w:t>
      </w:r>
    </w:p>
    <w:p>
      <w:pPr>
        <w:pStyle w:val="FirstParagraph"/>
      </w:pPr>
      <w:r>
        <w:rPr>
          <w:i/>
          <w:iCs/>
        </w:rPr>
        <w:t xml:space="preserve">(To be detailed)</w:t>
      </w:r>
    </w:p>
    <w:bookmarkEnd w:id="21"/>
    <w:bookmarkStart w:id="22" w:name="functional-requirements"/>
    <w:p>
      <w:pPr>
        <w:pStyle w:val="Heading3"/>
      </w:pPr>
      <w:r>
        <w:t xml:space="preserve">7.3 Functional Requirements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Main HES Functions</w:t>
            </w:r>
          </w:p>
        </w:tc>
        <w:tc>
          <w:tcPr/>
          <w:p>
            <w:pPr>
              <w:pStyle w:val="Compact"/>
            </w:pPr>
            <w:r>
              <w:t xml:space="preserve">Description</w:t>
            </w:r>
          </w:p>
        </w:tc>
      </w:tr>
      <w:tr>
        <w:tc>
          <w:tcPr/>
          <w:p>
            <w:pPr>
              <w:pStyle w:val="Compact"/>
            </w:pPr>
            <w:r>
              <w:t xml:space="preserve">23</w:t>
            </w:r>
          </w:p>
        </w:tc>
        <w:tc>
          <w:tcPr/>
          <w:p>
            <w:pPr>
              <w:pStyle w:val="Compact"/>
            </w:pPr>
            <w:r>
              <w:t xml:space="preserve">User Roles</w:t>
            </w:r>
          </w:p>
        </w:tc>
      </w:tr>
      <w:tr>
        <w:tc>
          <w:tcPr/>
          <w:p>
            <w:pPr>
              <w:pStyle w:val="Compact"/>
            </w:pPr>
            <w:r>
              <w:t xml:space="preserve">24</w:t>
            </w:r>
          </w:p>
        </w:tc>
        <w:tc>
          <w:tcPr/>
          <w:p>
            <w:pPr>
              <w:pStyle w:val="Compact"/>
            </w:pPr>
            <w:r>
              <w:t xml:space="preserve">Active Directory (AD)</w:t>
            </w:r>
          </w:p>
        </w:tc>
      </w:tr>
    </w:tbl>
    <w:bookmarkEnd w:id="22"/>
    <w:bookmarkStart w:id="24" w:name="interoperability-technical-requirements"/>
    <w:p>
      <w:pPr>
        <w:pStyle w:val="Heading3"/>
      </w:pPr>
      <w:r>
        <w:t xml:space="preserve">7.4 Interoperability Technical Requirements</w:t>
      </w:r>
    </w:p>
    <w:p>
      <w:pPr>
        <w:pStyle w:val="FirstParagraph"/>
      </w:pPr>
      <w:r>
        <w:t xml:space="preserve">Establish the mandatory technical requirements that the Public Lighting (AP) System must comply to guarantee interoperability with parallel internal systems (Billing, MDMS, GIS, Asset Management). The AP system must expose robust and secure Application Programming Interfaces (APIs) to allow data query, command manipulation, and remote management of Public Lighting (AP) functions.</w:t>
      </w:r>
    </w:p>
    <w:bookmarkStart w:id="23" w:name="X10bb10079060c7f85de93d0770c8824711c9e11"/>
    <w:p>
      <w:pPr>
        <w:pStyle w:val="Heading4"/>
      </w:pPr>
      <w:r>
        <w:t xml:space="preserve">7.4.1 Architecture and Communication Requirements</w:t>
      </w:r>
    </w:p>
    <w:p>
      <w:pPr>
        <w:pStyle w:val="FirstParagraph"/>
      </w:pPr>
      <w:r>
        <w:t xml:space="preserve">The AP system must adhere to the following communication standards for its interoperability interfaces:</w:t>
      </w:r>
    </w:p>
    <w:tbl>
      <w:tblPr>
        <w:tblStyle w:val="Table"/>
        <w:tblW w:type="pct" w:w="5000"/>
        <w:tblLayout w:type="fixed"/>
        <w:tblLook w:firstRow="1" w:lastRow="0" w:firstColumn="0" w:lastColumn="0" w:noHBand="0" w:noVBand="0" w:val="0020"/>
      </w:tblPr>
      <w:tblGrid>
        <w:gridCol w:w="3696"/>
        <w:gridCol w:w="4224"/>
      </w:tblGrid>
      <w:tr>
        <w:trPr>
          <w:tblHeader w:val="on"/>
        </w:trPr>
        <w:tc>
          <w:tcPr/>
          <w:p>
            <w:pPr>
              <w:pStyle w:val="Compact"/>
            </w:pPr>
            <w:r>
              <w:t xml:space="preserve">Technical Requirement</w:t>
            </w:r>
          </w:p>
        </w:tc>
        <w:tc>
          <w:tcPr/>
          <w:p>
            <w:pPr>
              <w:pStyle w:val="Compact"/>
            </w:pPr>
            <w:r>
              <w:t xml:space="preserve">Detail and Specification</w:t>
            </w:r>
          </w:p>
        </w:tc>
      </w:tr>
      <w:tr>
        <w:tc>
          <w:tcPr/>
          <w:p>
            <w:pPr>
              <w:pStyle w:val="Compact"/>
            </w:pPr>
            <w:r>
              <w:rPr>
                <w:b/>
                <w:bCs/>
              </w:rPr>
              <w:t xml:space="preserve">Communication Protocol</w:t>
            </w:r>
          </w:p>
        </w:tc>
        <w:tc>
          <w:tcPr/>
          <w:p>
            <w:pPr>
              <w:pStyle w:val="Compact"/>
            </w:pPr>
            <w:r>
              <w:t xml:space="preserve">RESTful Web Services (REST API). APIs must be stateless and follow REST principles.</w:t>
            </w:r>
          </w:p>
        </w:tc>
      </w:tr>
      <w:tr>
        <w:tc>
          <w:tcPr/>
          <w:p>
            <w:pPr>
              <w:pStyle w:val="Compact"/>
            </w:pPr>
            <w:r>
              <w:rPr>
                <w:b/>
                <w:bCs/>
              </w:rPr>
              <w:t xml:space="preserve">Exchange Format</w:t>
            </w:r>
          </w:p>
        </w:tc>
        <w:tc>
          <w:tcPr/>
          <w:p>
            <w:pPr>
              <w:pStyle w:val="Compact"/>
            </w:pPr>
            <w:r>
              <w:t xml:space="preserve">JSON (JavaScript Object Notation) is mandatory for request and response bodies. XML will only be accepted if it is a requirement of a specific legacy system.</w:t>
            </w:r>
          </w:p>
        </w:tc>
      </w:tr>
      <w:tr>
        <w:tc>
          <w:tcPr/>
          <w:p>
            <w:pPr>
              <w:pStyle w:val="Compact"/>
            </w:pPr>
            <w:r>
              <w:rPr>
                <w:b/>
                <w:bCs/>
              </w:rPr>
              <w:t xml:space="preserve">Security and Authentication</w:t>
            </w:r>
          </w:p>
        </w:tc>
        <w:tc>
          <w:tcPr/>
          <w:p>
            <w:pPr>
              <w:pStyle w:val="Compact"/>
            </w:pPr>
            <w:r>
              <w:t xml:space="preserve">Implementation of OAuth 2.0 or JSON Web Tokens (JWT). Each integrating system must obtain an access token and will only have permissions (scopes) defined for its specific functions.</w:t>
            </w:r>
          </w:p>
        </w:tc>
      </w:tr>
      <w:tr>
        <w:tc>
          <w:tcPr/>
          <w:p>
            <w:pPr>
              <w:pStyle w:val="Compact"/>
            </w:pPr>
            <w:r>
              <w:rPr>
                <w:b/>
                <w:bCs/>
              </w:rPr>
              <w:t xml:space="preserve">API Documentation</w:t>
            </w:r>
          </w:p>
        </w:tc>
        <w:tc>
          <w:tcPr/>
          <w:p>
            <w:pPr>
              <w:pStyle w:val="Compact"/>
            </w:pPr>
            <w:r>
              <w:t xml:space="preserve">Provide complete, interactive, and updated documentation under the OpenAPI Specification (Swagger) standard. Must include data models, endpoints (resources), mandatory parameters, and error codes.</w:t>
            </w:r>
          </w:p>
        </w:tc>
      </w:tr>
      <w:tr>
        <w:tc>
          <w:tcPr/>
          <w:p>
            <w:pPr>
              <w:pStyle w:val="Compact"/>
            </w:pPr>
            <w:r>
              <w:rPr>
                <w:b/>
                <w:bCs/>
              </w:rPr>
              <w:t xml:space="preserve">Performance and Latency</w:t>
            </w:r>
          </w:p>
        </w:tc>
        <w:tc>
          <w:tcPr/>
          <w:p>
            <w:pPr>
              <w:pStyle w:val="Compact"/>
            </w:pPr>
            <w:r>
              <w:t xml:space="preserve">Response latency for data query APIs must be less than 500 ms in 95% of calls.</w:t>
            </w:r>
          </w:p>
        </w:tc>
      </w:tr>
      <w:tr>
        <w:tc>
          <w:tcPr/>
          <w:p>
            <w:pPr>
              <w:pStyle w:val="Compact"/>
            </w:pPr>
            <w:r>
              <w:rPr>
                <w:b/>
                <w:bCs/>
              </w:rPr>
              <w:t xml:space="preserve">Load Management</w:t>
            </w:r>
          </w:p>
        </w:tc>
        <w:tc>
          <w:tcPr/>
          <w:p>
            <w:pPr>
              <w:pStyle w:val="Compact"/>
            </w:pPr>
            <w:r>
              <w:t xml:space="preserve">Implementation of Rate Limiting (requests per time limit) to protect the central system from overloads by integrating systems.</w:t>
            </w:r>
          </w:p>
        </w:tc>
      </w:tr>
      <w:tr>
        <w:tc>
          <w:tcPr/>
          <w:p>
            <w:pPr>
              <w:pStyle w:val="Compact"/>
            </w:pPr>
            <w:r>
              <w:rPr>
                <w:b/>
                <w:bCs/>
              </w:rPr>
              <w:t xml:space="preserve">Response Codes</w:t>
            </w:r>
          </w:p>
        </w:tc>
        <w:tc>
          <w:tcPr/>
          <w:p>
            <w:pPr>
              <w:pStyle w:val="Compact"/>
            </w:pPr>
            <w:r>
              <w:t xml:space="preserve">Strict use of standard HTTP status codes (200, 201, 400, 401, 403, 404, 500) with detailed error messages in the response body.</w:t>
            </w:r>
          </w:p>
        </w:tc>
      </w:tr>
    </w:tbl>
    <w:p>
      <w:r>
        <w:pict>
          <v:rect style="width:0;height:1.5pt" o:hralign="center" o:hrstd="t" o:hr="t"/>
        </w:pict>
      </w:r>
    </w:p>
    <w:bookmarkEnd w:id="23"/>
    <w:bookmarkEnd w:id="24"/>
    <w:bookmarkEnd w:id="25"/>
    <w:bookmarkStart w:id="31" w:name="materials-to-supply"/>
    <w:p>
      <w:pPr>
        <w:pStyle w:val="Heading2"/>
      </w:pPr>
      <w:r>
        <w:t xml:space="preserve">8. Materials to Supply</w:t>
      </w:r>
    </w:p>
    <w:bookmarkStart w:id="26" w:name="telemanagement-node"/>
    <w:p>
      <w:pPr>
        <w:pStyle w:val="Heading3"/>
      </w:pPr>
      <w:r>
        <w:t xml:space="preserve">8.1 Telemanagement Node</w:t>
      </w:r>
    </w:p>
    <w:p>
      <w:pPr>
        <w:pStyle w:val="FirstParagraph"/>
      </w:pPr>
      <w:r>
        <w:rPr>
          <w:i/>
          <w:iCs/>
        </w:rPr>
        <w:t xml:space="preserve">(To be detailed)</w:t>
      </w:r>
    </w:p>
    <w:bookmarkEnd w:id="26"/>
    <w:bookmarkStart w:id="27" w:name="gateway"/>
    <w:p>
      <w:pPr>
        <w:pStyle w:val="Heading3"/>
      </w:pPr>
      <w:r>
        <w:t xml:space="preserve">8.2 Gateway</w:t>
      </w:r>
    </w:p>
    <w:p>
      <w:pPr>
        <w:pStyle w:val="FirstParagraph"/>
      </w:pPr>
      <w:r>
        <w:t xml:space="preserve">In the context of intelligent public lighting systems, a Gateway is a key device that acts as a communication bridge between luminaires installed in the field and the central management server. Its main function is to collect data sent by luminaires through radio frequency (RF) technologies (LoRaWAN, Zigbee, Wi-Sun, proprietary protocol, or any MESH network system) and transmit it to the server via an LTE mobile connection.</w:t>
      </w:r>
    </w:p>
    <w:p>
      <w:pPr>
        <w:pStyle w:val="BodyText"/>
      </w:pPr>
      <w:r>
        <w:t xml:space="preserve">In addition to serving as a communication link, the Gateway allows remote management of each light point, such as turning on, off, or intensity regulation, and ensures that information flows securely, reliably, and in real-time. Its design must be robust to withstand adverse environmental conditions, have local storage in case of connectivity loss, and be prepared to operate on local mobile networks such as Claro or Altice in the Dominican Republic.</w:t>
      </w:r>
    </w:p>
    <w:p>
      <w:pPr>
        <w:pStyle w:val="BodyText"/>
      </w:pPr>
      <w:r>
        <w:t xml:space="preserve">The following are technical requirements for a Gateway for monitoring public lighting installation with RF and LTE communication. The Gateway must have the capacity to connect with a minimum of 200 luminaires.</w:t>
      </w:r>
    </w:p>
    <w:bookmarkEnd w:id="27"/>
    <w:bookmarkStart w:id="28" w:name="storage-system"/>
    <w:p>
      <w:pPr>
        <w:pStyle w:val="Heading3"/>
      </w:pPr>
      <w:r>
        <w:t xml:space="preserve">8.3 Storage System</w:t>
      </w:r>
    </w:p>
    <w:p>
      <w:pPr>
        <w:pStyle w:val="FirstParagraph"/>
      </w:pPr>
      <w:r>
        <w:t xml:space="preserve">Server capacity depends on reporting frequency:</w:t>
      </w:r>
    </w:p>
    <w:p>
      <w:pPr>
        <w:pStyle w:val="BodyText"/>
      </w:pPr>
      <w:r>
        <w:rPr>
          <w:b/>
          <w:bCs/>
        </w:rPr>
        <w:t xml:space="preserve">EDE SUR: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Reporting Frequency</w:t>
            </w:r>
          </w:p>
        </w:tc>
        <w:tc>
          <w:tcPr/>
          <w:p>
            <w:pPr>
              <w:pStyle w:val="Compact"/>
            </w:pPr>
            <w:r>
              <w:t xml:space="preserve">Server Capacity GB/year</w:t>
            </w:r>
          </w:p>
        </w:tc>
      </w:tr>
      <w:tr>
        <w:tc>
          <w:tcPr/>
          <w:p>
            <w:pPr>
              <w:pStyle w:val="Compact"/>
            </w:pPr>
            <w:r>
              <w:t xml:space="preserve">15-minute reports</w:t>
            </w:r>
          </w:p>
        </w:tc>
        <w:tc>
          <w:tcPr/>
          <w:p>
            <w:pPr>
              <w:pStyle w:val="Compact"/>
            </w:pPr>
            <w:r>
              <w:t xml:space="preserve">2,500</w:t>
            </w:r>
          </w:p>
        </w:tc>
      </w:tr>
      <w:tr>
        <w:tc>
          <w:tcPr/>
          <w:p>
            <w:pPr>
              <w:pStyle w:val="Compact"/>
            </w:pPr>
            <w:r>
              <w:t xml:space="preserve">Hourly reports</w:t>
            </w:r>
          </w:p>
        </w:tc>
        <w:tc>
          <w:tcPr/>
          <w:p>
            <w:pPr>
              <w:pStyle w:val="Compact"/>
            </w:pPr>
            <w:r>
              <w:t xml:space="preserve">700</w:t>
            </w:r>
          </w:p>
        </w:tc>
      </w:tr>
      <w:tr>
        <w:tc>
          <w:tcPr/>
          <w:p>
            <w:pPr>
              <w:pStyle w:val="Compact"/>
            </w:pPr>
            <w:r>
              <w:t xml:space="preserve">Daily reports</w:t>
            </w:r>
          </w:p>
        </w:tc>
        <w:tc>
          <w:tcPr/>
          <w:p>
            <w:pPr>
              <w:pStyle w:val="Compact"/>
            </w:pPr>
            <w:r>
              <w:t xml:space="preserve">50</w:t>
            </w:r>
          </w:p>
        </w:tc>
      </w:tr>
    </w:tbl>
    <w:p>
      <w:pPr>
        <w:pStyle w:val="BodyText"/>
      </w:pPr>
      <w:r>
        <w:rPr>
          <w:b/>
          <w:bCs/>
        </w:rPr>
        <w:t xml:space="preserve">EDE NORTE: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Reporting Frequency</w:t>
            </w:r>
          </w:p>
        </w:tc>
        <w:tc>
          <w:tcPr/>
          <w:p>
            <w:pPr>
              <w:pStyle w:val="Compact"/>
            </w:pPr>
            <w:r>
              <w:t xml:space="preserve">Server Capacity GB/year</w:t>
            </w:r>
          </w:p>
        </w:tc>
      </w:tr>
      <w:tr>
        <w:tc>
          <w:tcPr/>
          <w:p>
            <w:pPr>
              <w:pStyle w:val="Compact"/>
            </w:pPr>
            <w:r>
              <w:t xml:space="preserve">15-minute reports</w:t>
            </w:r>
          </w:p>
        </w:tc>
        <w:tc>
          <w:tcPr/>
          <w:p>
            <w:pPr>
              <w:pStyle w:val="Compact"/>
            </w:pPr>
            <w:r>
              <w:t xml:space="preserve">2,500</w:t>
            </w:r>
          </w:p>
        </w:tc>
      </w:tr>
      <w:tr>
        <w:tc>
          <w:tcPr/>
          <w:p>
            <w:pPr>
              <w:pStyle w:val="Compact"/>
            </w:pPr>
            <w:r>
              <w:t xml:space="preserve">Hourly reports</w:t>
            </w:r>
          </w:p>
        </w:tc>
        <w:tc>
          <w:tcPr/>
          <w:p>
            <w:pPr>
              <w:pStyle w:val="Compact"/>
            </w:pPr>
            <w:r>
              <w:t xml:space="preserve">700</w:t>
            </w:r>
          </w:p>
        </w:tc>
      </w:tr>
      <w:tr>
        <w:tc>
          <w:tcPr/>
          <w:p>
            <w:pPr>
              <w:pStyle w:val="Compact"/>
            </w:pPr>
            <w:r>
              <w:t xml:space="preserve">Daily reports</w:t>
            </w:r>
          </w:p>
        </w:tc>
        <w:tc>
          <w:tcPr/>
          <w:p>
            <w:pPr>
              <w:pStyle w:val="Compact"/>
            </w:pPr>
            <w:r>
              <w:t xml:space="preserve">50</w:t>
            </w:r>
          </w:p>
        </w:tc>
      </w:tr>
    </w:tbl>
    <w:bookmarkEnd w:id="28"/>
    <w:bookmarkStart w:id="29" w:name="cybersecurity"/>
    <w:p>
      <w:pPr>
        <w:pStyle w:val="Heading3"/>
      </w:pPr>
      <w:r>
        <w:t xml:space="preserve">8.4 Cybersecurity</w:t>
      </w:r>
    </w:p>
    <w:p>
      <w:pPr>
        <w:pStyle w:val="FirstParagraph"/>
      </w:pPr>
      <w:r>
        <w:rPr>
          <w:i/>
          <w:iCs/>
        </w:rPr>
        <w:t xml:space="preserve">(To be detailed)</w:t>
      </w:r>
    </w:p>
    <w:bookmarkEnd w:id="29"/>
    <w:bookmarkStart w:id="30" w:name="regulatory-compliance"/>
    <w:p>
      <w:pPr>
        <w:pStyle w:val="Heading3"/>
      </w:pPr>
      <w:r>
        <w:t xml:space="preserve">8.5 Regulatory Compliance</w:t>
      </w:r>
    </w:p>
    <w:p>
      <w:pPr>
        <w:pStyle w:val="FirstParagraph"/>
      </w:pPr>
      <w:r>
        <w:t xml:space="preserve">Reference the following standards:</w:t>
      </w:r>
    </w:p>
    <w:p>
      <w:pPr>
        <w:pStyle w:val="Compact"/>
        <w:numPr>
          <w:ilvl w:val="0"/>
          <w:numId w:val="1003"/>
        </w:numPr>
      </w:pPr>
      <w:r>
        <w:rPr>
          <w:b/>
          <w:bCs/>
        </w:rPr>
        <w:t xml:space="preserve">ANSI C12.20</w:t>
      </w:r>
      <w:r>
        <w:t xml:space="preserve">: Ensures fair and accurate measurement in electrical energy transactions in the country.</w:t>
      </w:r>
    </w:p>
    <w:p>
      <w:pPr>
        <w:pStyle w:val="Compact"/>
        <w:numPr>
          <w:ilvl w:val="0"/>
          <w:numId w:val="1003"/>
        </w:numPr>
      </w:pPr>
      <w:r>
        <w:rPr>
          <w:b/>
          <w:bCs/>
        </w:rPr>
        <w:t xml:space="preserve">ANSI C136.41/2020</w:t>
      </w:r>
      <w:r>
        <w:t xml:space="preserve">: Defines requirements for luminaire control interface, especially those with</w:t>
      </w:r>
      <w:r>
        <w:t xml:space="preserve"> </w:t>
      </w:r>
      <w:r>
        <w:t xml:space="preserve">“dimming”</w:t>
      </w:r>
      <w:r>
        <w:t xml:space="preserve"> </w:t>
      </w:r>
      <w:r>
        <w:t xml:space="preserve">type connectors used in intelligent public lighting. In the Dominican Republic, its use facilitates the integration of energy efficiency technologies and remote control in the public lighting system.</w:t>
      </w:r>
    </w:p>
    <w:p>
      <w:pPr>
        <w:pStyle w:val="Compact"/>
        <w:numPr>
          <w:ilvl w:val="0"/>
          <w:numId w:val="1003"/>
        </w:numPr>
      </w:pPr>
      <w:r>
        <w:rPr>
          <w:b/>
          <w:bCs/>
        </w:rPr>
        <w:t xml:space="preserve">NEMA 3</w:t>
      </w:r>
      <w:r>
        <w:t xml:space="preserve">: This classification from the National Electrical Manufacturers Association specifies the type of electrical cabinets suitable for outdoor use, protecting internal components against rain, snow, and dust. It is commonly applied in Dominican electrical installations exposed to adverse weather conditions.</w:t>
      </w:r>
    </w:p>
    <w:p>
      <w:pPr>
        <w:pStyle w:val="Compact"/>
        <w:numPr>
          <w:ilvl w:val="0"/>
          <w:numId w:val="1003"/>
        </w:numPr>
      </w:pPr>
      <w:r>
        <w:rPr>
          <w:b/>
          <w:bCs/>
        </w:rPr>
        <w:t xml:space="preserve">IEC-62053-21</w:t>
      </w:r>
      <w:r>
        <w:t xml:space="preserve">: International standard that regulates precision and performance requirements for static electrical meters for active energy in low voltage installations. Its application in the Dominican Republic guarantees conformity with global standards and improves interoperability between equipment from different manufacturers.</w:t>
      </w:r>
    </w:p>
    <w:p>
      <w:pPr>
        <w:pStyle w:val="Compact"/>
        <w:numPr>
          <w:ilvl w:val="0"/>
          <w:numId w:val="1003"/>
        </w:numPr>
      </w:pPr>
      <w:r>
        <w:rPr>
          <w:b/>
          <w:bCs/>
        </w:rPr>
        <w:t xml:space="preserve">IEC 62058-11</w:t>
      </w:r>
      <w:r>
        <w:t xml:space="preserve">: Defines general acceptance inspection methods for electricity measuring equipment, detailing verification procedures after manufacturing or in supply batches, to ensure conformity before installation.</w:t>
      </w:r>
    </w:p>
    <w:p>
      <w:pPr>
        <w:pStyle w:val="Compact"/>
        <w:numPr>
          <w:ilvl w:val="0"/>
          <w:numId w:val="1003"/>
        </w:numPr>
      </w:pPr>
      <w:r>
        <w:rPr>
          <w:b/>
          <w:bCs/>
        </w:rPr>
        <w:t xml:space="preserve">IEC 60529</w:t>
      </w:r>
      <w:r>
        <w:t xml:space="preserve">: Regulates the degree of protection (Ingress Protection) provided by equipment enclosures against the entry of dust, water, or accidental contact, through a precise coding indicating, for example, the capacity to withstand partial immersion or water jets, which is crucial to ensure equipment durability in outdoor environments.</w:t>
      </w:r>
    </w:p>
    <w:p>
      <w:pPr>
        <w:pStyle w:val="FirstParagraph"/>
      </w:pPr>
      <w:r>
        <w:t xml:space="preserve">Additionally, the following certifications are required:</w:t>
      </w:r>
    </w:p>
    <w:p>
      <w:pPr>
        <w:pStyle w:val="Compact"/>
        <w:numPr>
          <w:ilvl w:val="0"/>
          <w:numId w:val="1004"/>
        </w:numPr>
      </w:pPr>
      <w:r>
        <w:t xml:space="preserve">ISO-9001 certification from the manufacturer.</w:t>
      </w:r>
    </w:p>
    <w:p>
      <w:pPr>
        <w:pStyle w:val="Compact"/>
        <w:numPr>
          <w:ilvl w:val="0"/>
          <w:numId w:val="1004"/>
        </w:numPr>
      </w:pPr>
      <w:r>
        <w:t xml:space="preserve">INDOCAL measurement system certification.</w:t>
      </w:r>
    </w:p>
    <w:p>
      <w:pPr>
        <w:pStyle w:val="Compact"/>
        <w:numPr>
          <w:ilvl w:val="0"/>
          <w:numId w:val="1004"/>
        </w:numPr>
      </w:pPr>
      <w:r>
        <w:t xml:space="preserve">INDOTEL communication equipment homologation certification.</w:t>
      </w:r>
    </w:p>
    <w:p>
      <w:r>
        <w:pict>
          <v:rect style="width:0;height:1.5pt" o:hralign="center" o:hrstd="t" o:hr="t"/>
        </w:pict>
      </w:r>
    </w:p>
    <w:bookmarkEnd w:id="30"/>
    <w:bookmarkEnd w:id="31"/>
    <w:bookmarkStart w:id="32" w:name="warranty"/>
    <w:p>
      <w:pPr>
        <w:pStyle w:val="Heading2"/>
      </w:pPr>
      <w:r>
        <w:t xml:space="preserve">9. Warranty</w:t>
      </w:r>
    </w:p>
    <w:p>
      <w:pPr>
        <w:pStyle w:val="FirstParagraph"/>
      </w:pPr>
      <w:r>
        <w:t xml:space="preserve">The awardee shall warrant that all products subject to the contract are new, free from manufacturing, material, or functioning defects, and comply with the technical specifications required in this bidding document. The minimum warranty for components to be supplied shall be as follows:</w:t>
      </w:r>
    </w:p>
    <w:p>
      <w:pPr>
        <w:pStyle w:val="BodyText"/>
      </w:pPr>
      <w:r>
        <w:rPr>
          <w:i/>
          <w:iCs/>
        </w:rPr>
        <w:t xml:space="preserve">(To be detailed)</w:t>
      </w:r>
    </w:p>
    <w:p>
      <w:r>
        <w:pict>
          <v:rect style="width:0;height:1.5pt" o:hralign="center" o:hrstd="t" o:hr="t"/>
        </w:pict>
      </w:r>
    </w:p>
    <w:bookmarkEnd w:id="32"/>
    <w:bookmarkStart w:id="34" w:name="structure-and-personnel"/>
    <w:p>
      <w:pPr>
        <w:pStyle w:val="Heading2"/>
      </w:pPr>
      <w:r>
        <w:t xml:space="preserve">10. Structure and Personnel</w:t>
      </w:r>
    </w:p>
    <w:bookmarkStart w:id="33" w:name="required-personnel-configuration"/>
    <w:p>
      <w:pPr>
        <w:pStyle w:val="Heading3"/>
      </w:pPr>
      <w:r>
        <w:t xml:space="preserve">Required Personnel Configuration</w:t>
      </w:r>
    </w:p>
    <w:p>
      <w:pPr>
        <w:pStyle w:val="FirstParagraph"/>
      </w:pPr>
      <w:r>
        <w:rPr>
          <w:b/>
          <w:bCs/>
        </w:rPr>
        <w:t xml:space="preserve">Project Manager:</w:t>
      </w:r>
      <w:r>
        <w:t xml:space="preserve"> </w:t>
      </w:r>
      <w:r>
        <w:t xml:space="preserve">* Functions: Overall project coordination and supervision</w:t>
      </w:r>
      <w:r>
        <w:t xml:space="preserve"> </w:t>
      </w:r>
      <w:r>
        <w:t xml:space="preserve">* Competencies: PMP certification, IoT/Smart City experience</w:t>
      </w:r>
    </w:p>
    <w:p>
      <w:pPr>
        <w:pStyle w:val="BodyText"/>
      </w:pPr>
      <w:r>
        <w:rPr>
          <w:b/>
          <w:bCs/>
        </w:rPr>
        <w:t xml:space="preserve">Lighting System Expert:</w:t>
      </w:r>
      <w:r>
        <w:t xml:space="preserve"> </w:t>
      </w:r>
      <w:r>
        <w:t xml:space="preserve">* Functions: Technical guidance on lighting systems</w:t>
      </w:r>
      <w:r>
        <w:t xml:space="preserve"> </w:t>
      </w:r>
      <w:r>
        <w:t xml:space="preserve">* Competencies: Public lighting knowledge, NEMA standards</w:t>
      </w:r>
    </w:p>
    <w:p>
      <w:pPr>
        <w:pStyle w:val="BodyText"/>
      </w:pPr>
      <w:r>
        <w:rPr>
          <w:b/>
          <w:bCs/>
        </w:rPr>
        <w:t xml:space="preserve">IoT/Telecom Engineer:</w:t>
      </w:r>
      <w:r>
        <w:t xml:space="preserve"> </w:t>
      </w:r>
      <w:r>
        <w:t xml:space="preserve">* Functions: Network design and configuration</w:t>
      </w:r>
      <w:r>
        <w:t xml:space="preserve"> </w:t>
      </w:r>
      <w:r>
        <w:t xml:space="preserve">* Competencies: LoRaWAN, Zigbee, databases, APIs REST, MQTT, etc.</w:t>
      </w:r>
    </w:p>
    <w:p>
      <w:pPr>
        <w:pStyle w:val="BodyText"/>
      </w:pPr>
      <w:r>
        <w:rPr>
          <w:b/>
          <w:bCs/>
        </w:rPr>
        <w:t xml:space="preserve">Cybersecurity Specialist:</w:t>
      </w:r>
      <w:r>
        <w:t xml:space="preserve"> </w:t>
      </w:r>
      <w:r>
        <w:t xml:space="preserve">* Functions: Define and implement security measures in communication networks</w:t>
      </w:r>
      <w:r>
        <w:t xml:space="preserve"> </w:t>
      </w:r>
      <w:r>
        <w:t xml:space="preserve">* Competencies: IoT network security and telecommunications knowledge</w:t>
      </w:r>
    </w:p>
    <w:p>
      <w:r>
        <w:pict>
          <v:rect style="width:0;height:1.5pt" o:hralign="center" o:hrstd="t" o:hr="t"/>
        </w:pict>
      </w:r>
    </w:p>
    <w:bookmarkEnd w:id="33"/>
    <w:bookmarkEnd w:id="34"/>
    <w:bookmarkStart w:id="35" w:name="brigades"/>
    <w:p>
      <w:pPr>
        <w:pStyle w:val="Heading2"/>
      </w:pPr>
      <w:r>
        <w:t xml:space="preserve">11. Brigades</w:t>
      </w:r>
    </w:p>
    <w:p>
      <w:pPr>
        <w:pStyle w:val="FirstParagraph"/>
      </w:pPr>
      <w:r>
        <w:t xml:space="preserve">The suggested minimum basic infrastructure for placement of the telemanagement node shall be as follows (non-limiting):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Electric Distribution Company</w:t>
            </w:r>
          </w:p>
        </w:tc>
        <w:tc>
          <w:tcPr/>
          <w:p>
            <w:pPr>
              <w:pStyle w:val="Compact"/>
            </w:pPr>
            <w:r>
              <w:t xml:space="preserve">Brigade Basket</w:t>
            </w:r>
          </w:p>
        </w:tc>
      </w:tr>
      <w:tr>
        <w:tc>
          <w:tcPr/>
          <w:p>
            <w:pPr>
              <w:pStyle w:val="Compact"/>
            </w:pPr>
            <w:r>
              <w:t xml:space="preserve">EDESUR</w:t>
            </w:r>
          </w:p>
        </w:tc>
        <w:tc>
          <w:tcPr/>
          <w:p>
            <w:pPr>
              <w:pStyle w:val="Compact"/>
            </w:pPr>
            <w:r>
              <w:t xml:space="preserve">4</w:t>
            </w:r>
          </w:p>
        </w:tc>
      </w:tr>
      <w:tr>
        <w:tc>
          <w:tcPr/>
          <w:p>
            <w:pPr>
              <w:pStyle w:val="Compact"/>
            </w:pPr>
            <w:r>
              <w:t xml:space="preserve">EDENORTE</w:t>
            </w:r>
          </w:p>
        </w:tc>
        <w:tc>
          <w:tcPr/>
          <w:p>
            <w:pPr>
              <w:pStyle w:val="Compact"/>
            </w:pPr>
            <w:r>
              <w:t xml:space="preserve">5</w:t>
            </w:r>
          </w:p>
        </w:tc>
      </w:tr>
      <w:tr>
        <w:tc>
          <w:tcPr/>
          <w:p>
            <w:pPr>
              <w:pStyle w:val="Compact"/>
            </w:pPr>
            <w:r>
              <w:t xml:space="preserve">EDEESTE</w:t>
            </w:r>
          </w:p>
        </w:tc>
        <w:tc>
          <w:tcPr/>
          <w:p>
            <w:pPr>
              <w:pStyle w:val="Compact"/>
            </w:pPr>
            <w:r>
              <w:t xml:space="preserve">5</w:t>
            </w:r>
          </w:p>
        </w:tc>
      </w:tr>
    </w:tbl>
    <w:p>
      <w:r>
        <w:pict>
          <v:rect style="width:0;height:1.5pt" o:hralign="center" o:hrstd="t" o:hr="t"/>
        </w:pict>
      </w:r>
    </w:p>
    <w:bookmarkEnd w:id="35"/>
    <w:bookmarkStart w:id="39" w:name="work-requirements"/>
    <w:p>
      <w:pPr>
        <w:pStyle w:val="Heading2"/>
      </w:pPr>
      <w:r>
        <w:t xml:space="preserve">12. Work Requirements</w:t>
      </w:r>
    </w:p>
    <w:bookmarkStart w:id="36" w:name="a.-initial-phase-planning"/>
    <w:p>
      <w:pPr>
        <w:pStyle w:val="Heading3"/>
      </w:pPr>
      <w:r>
        <w:t xml:space="preserve">a. Initial Phase (Planning)</w:t>
      </w:r>
    </w:p>
    <w:p>
      <w:pPr>
        <w:pStyle w:val="Compact"/>
        <w:numPr>
          <w:ilvl w:val="0"/>
          <w:numId w:val="1005"/>
        </w:numPr>
      </w:pPr>
      <w:r>
        <w:t xml:space="preserve">Project kickoff meeting.</w:t>
      </w:r>
    </w:p>
    <w:p>
      <w:pPr>
        <w:pStyle w:val="Compact"/>
        <w:numPr>
          <w:ilvl w:val="0"/>
          <w:numId w:val="1005"/>
        </w:numPr>
      </w:pPr>
      <w:r>
        <w:t xml:space="preserve">Presentation of work plan, schedule, and solution architecture.</w:t>
      </w:r>
    </w:p>
    <w:p>
      <w:pPr>
        <w:pStyle w:val="Compact"/>
        <w:numPr>
          <w:ilvl w:val="0"/>
          <w:numId w:val="1005"/>
        </w:numPr>
      </w:pPr>
      <w:r>
        <w:t xml:space="preserve">Coverage study and LoRaWAN network design.</w:t>
      </w:r>
    </w:p>
    <w:p>
      <w:pPr>
        <w:pStyle w:val="Compact"/>
        <w:numPr>
          <w:ilvl w:val="0"/>
          <w:numId w:val="1005"/>
        </w:numPr>
      </w:pPr>
      <w:r>
        <w:t xml:space="preserve">Definition of management and storage platform architecture.</w:t>
      </w:r>
    </w:p>
    <w:p>
      <w:pPr>
        <w:pStyle w:val="Compact"/>
        <w:numPr>
          <w:ilvl w:val="0"/>
          <w:numId w:val="1005"/>
        </w:numPr>
      </w:pPr>
      <w:r>
        <w:t xml:space="preserve">Cybersecurity and operational continuity plan.</w:t>
      </w:r>
    </w:p>
    <w:bookmarkEnd w:id="36"/>
    <w:bookmarkStart w:id="37" w:name="b.-implementation-phase"/>
    <w:p>
      <w:pPr>
        <w:pStyle w:val="Heading3"/>
      </w:pPr>
      <w:r>
        <w:t xml:space="preserve">b. Implementation Phase</w:t>
      </w:r>
    </w:p>
    <w:p>
      <w:pPr>
        <w:pStyle w:val="Compact"/>
        <w:numPr>
          <w:ilvl w:val="0"/>
          <w:numId w:val="1006"/>
        </w:numPr>
      </w:pPr>
      <w:r>
        <w:t xml:space="preserve">Supply and installation of telemanagement nodes in LED luminaires.</w:t>
      </w:r>
    </w:p>
    <w:p>
      <w:pPr>
        <w:pStyle w:val="Compact"/>
        <w:numPr>
          <w:ilvl w:val="0"/>
          <w:numId w:val="1006"/>
        </w:numPr>
      </w:pPr>
      <w:r>
        <w:t xml:space="preserve">The awardees of lots 1, 2, and 3 of bidding process No. MEM-BID-LPI-2026-001 must work together with the awardee of this process, with the objective of guaranteeing effective bidirectional execution in the installation of luminaires and nodes. These awardees must guarantee the following minimum compliance:</w:t>
      </w:r>
    </w:p>
    <w:bookmarkEnd w:id="37"/>
    <w:bookmarkStart w:id="38" w:name="c.-testing-and-closing-phase"/>
    <w:p>
      <w:pPr>
        <w:pStyle w:val="Heading3"/>
      </w:pPr>
      <w:r>
        <w:t xml:space="preserve">c. Testing and Closing Phase</w:t>
      </w:r>
    </w:p>
    <w:p>
      <w:pPr>
        <w:pStyle w:val="FirstParagraph"/>
      </w:pPr>
      <w:r>
        <w:rPr>
          <w:i/>
          <w:iCs/>
        </w:rPr>
        <w:t xml:space="preserve">(To be detailed)</w:t>
      </w:r>
    </w:p>
    <w:p>
      <w:r>
        <w:pict>
          <v:rect style="width:0;height:1.5pt" o:hralign="center" o:hrstd="t" o:hr="t"/>
        </w:pict>
      </w:r>
    </w:p>
    <w:bookmarkEnd w:id="38"/>
    <w:bookmarkEnd w:id="39"/>
    <w:bookmarkStart w:id="40" w:name="X7f805175de1b433f83574b871909750e4dea867"/>
    <w:p>
      <w:pPr>
        <w:pStyle w:val="Heading2"/>
      </w:pPr>
      <w:r>
        <w:t xml:space="preserve">13. Regulatory, Environmental and Safety Requirements</w:t>
      </w:r>
    </w:p>
    <w:p>
      <w:pPr>
        <w:pStyle w:val="FirstParagraph"/>
      </w:pPr>
      <w:r>
        <w:rPr>
          <w:i/>
          <w:iCs/>
        </w:rPr>
        <w:t xml:space="preserve">(To be detailed)</w:t>
      </w:r>
    </w:p>
    <w:p>
      <w:r>
        <w:pict>
          <v:rect style="width:0;height:1.5pt" o:hralign="center" o:hrstd="t" o:hr="t"/>
        </w:pict>
      </w:r>
    </w:p>
    <w:bookmarkEnd w:id="40"/>
    <w:bookmarkStart w:id="41" w:name="schedule-and-milestones"/>
    <w:p>
      <w:pPr>
        <w:pStyle w:val="Heading2"/>
      </w:pPr>
      <w:r>
        <w:t xml:space="preserve">14. Schedule and Milestones</w:t>
      </w:r>
    </w:p>
    <w:p>
      <w:pPr>
        <w:pStyle w:val="FirstParagraph"/>
      </w:pPr>
      <w:r>
        <w:rPr>
          <w:i/>
          <w:iCs/>
        </w:rPr>
        <w:t xml:space="preserve">(To be detailed)</w:t>
      </w:r>
    </w:p>
    <w:p>
      <w:r>
        <w:pict>
          <v:rect style="width:0;height:1.5pt" o:hralign="center" o:hrstd="t" o:hr="t"/>
        </w:pict>
      </w:r>
    </w:p>
    <w:bookmarkEnd w:id="41"/>
    <w:bookmarkStart w:id="42" w:name="other-requirements"/>
    <w:p>
      <w:pPr>
        <w:pStyle w:val="Heading2"/>
      </w:pPr>
      <w:r>
        <w:t xml:space="preserve">15. Other Requirements</w:t>
      </w:r>
    </w:p>
    <w:p>
      <w:pPr>
        <w:pStyle w:val="FirstParagraph"/>
      </w:pPr>
      <w:r>
        <w:rPr>
          <w:i/>
          <w:iCs/>
        </w:rPr>
        <w:t xml:space="preserve">(To be detailed)</w:t>
      </w:r>
    </w:p>
    <w:p>
      <w:r>
        <w:pict>
          <v:rect style="width:0;height:1.5pt" o:hralign="center" o:hrstd="t" o:hr="t"/>
        </w:pict>
      </w:r>
    </w:p>
    <w:bookmarkEnd w:id="42"/>
    <w:bookmarkStart w:id="43" w:name="penalties-and-sanctions"/>
    <w:p>
      <w:pPr>
        <w:pStyle w:val="Heading2"/>
      </w:pPr>
      <w:r>
        <w:t xml:space="preserve">16. Penalties and Sanctions</w:t>
      </w:r>
    </w:p>
    <w:p>
      <w:pPr>
        <w:pStyle w:val="FirstParagraph"/>
      </w:pPr>
      <w:r>
        <w:rPr>
          <w:i/>
          <w:iCs/>
        </w:rPr>
        <w:t xml:space="preserve">(To be detailed)</w:t>
      </w:r>
    </w:p>
    <w:p>
      <w:r>
        <w:pict>
          <v:rect style="width:0;height:1.5pt" o:hralign="center" o:hrstd="t" o:hr="t"/>
        </w:pict>
      </w:r>
    </w:p>
    <w:p>
      <w:pPr>
        <w:pStyle w:val="FirstParagraph"/>
      </w:pPr>
      <w:r>
        <w:rPr>
          <w:b/>
          <w:bCs/>
        </w:rPr>
        <w:t xml:space="preserve">End of Document</w:t>
      </w:r>
    </w:p>
    <w:p>
      <w:pPr>
        <w:pStyle w:val="BodyText"/>
      </w:pPr>
      <w:r>
        <w:rPr>
          <w:i/>
          <w:iCs/>
        </w:rPr>
        <w:t xml:space="preserve">This translation is based on the original BID Public Lighting Remote Management System Statement of Work</w:t>
      </w:r>
    </w:p>
    <w:bookmarkEnd w:id="43"/>
    <w:bookmarkEnd w:id="4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2026-06-19T17:51:03Z</dcterms:created>
  <dcterms:modified xsi:type="dcterms:W3CDTF">2026-06-19T17:51:03Z</dcterms:modified>
</cp:coreProperties>
</file>

<file path=docProps/custom.xml><?xml version="1.0" encoding="utf-8"?>
<Properties xmlns="http://schemas.openxmlformats.org/officeDocument/2006/custom-properties" xmlns:vt="http://schemas.openxmlformats.org/officeDocument/2006/docPropsVTypes"/>
</file>