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4" w:name="bid公共照明远程管理系统工作声明---全文翻译"/>
    <w:p>
      <w:pPr>
        <w:pStyle w:val="Heading1"/>
      </w:pPr>
      <w:r>
        <w:rPr>
          <w:rFonts w:hint="eastAsia"/>
        </w:rPr>
        <w:t xml:space="preserve">BID公共照明远程管理系统工作声明</w:t>
      </w:r>
      <w:r>
        <w:t xml:space="preserve"> - </w:t>
      </w:r>
      <w:r>
        <w:rPr>
          <w:rFonts w:hint="eastAsia"/>
        </w:rPr>
        <w:t xml:space="preserve">全文翻译</w:t>
      </w:r>
    </w:p>
    <w:bookmarkStart w:id="9" w:name="项目信息"/>
    <w:p>
      <w:pPr>
        <w:pStyle w:val="Heading2"/>
      </w:pPr>
      <w:r>
        <w:rPr>
          <w:rFonts w:hint="eastAsia"/>
        </w:rPr>
        <w:t xml:space="preserve">项目信息</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项目</w:t>
            </w:r>
          </w:p>
        </w:tc>
        <w:tc>
          <w:tcPr/>
          <w:p>
            <w:pPr>
              <w:pStyle w:val="Compact"/>
            </w:pPr>
            <w:r>
              <w:rPr>
                <w:rFonts w:hint="eastAsia"/>
              </w:rPr>
              <w:t xml:space="preserve">详情</w:t>
            </w:r>
          </w:p>
        </w:tc>
      </w:tr>
      <w:tr>
        <w:tc>
          <w:tcPr/>
          <w:p>
            <w:pPr>
              <w:pStyle w:val="Compact"/>
            </w:pPr>
            <w:r>
              <w:rPr>
                <w:rFonts w:hint="eastAsia"/>
              </w:rPr>
              <w:t xml:space="preserve">项目名称</w:t>
            </w:r>
          </w:p>
        </w:tc>
        <w:tc>
          <w:tcPr/>
          <w:p>
            <w:pPr>
              <w:pStyle w:val="Compact"/>
            </w:pPr>
            <w:r>
              <w:rPr>
                <w:rFonts w:hint="eastAsia"/>
              </w:rPr>
              <w:t xml:space="preserve">公共照明远程管理系统与控制中心</w:t>
            </w:r>
          </w:p>
        </w:tc>
      </w:tr>
      <w:tr>
        <w:tc>
          <w:tcPr/>
          <w:p>
            <w:pPr>
              <w:pStyle w:val="Compact"/>
            </w:pPr>
            <w:r>
              <w:rPr>
                <w:rFonts w:hint="eastAsia"/>
              </w:rPr>
              <w:t xml:space="preserve">项目编号</w:t>
            </w:r>
          </w:p>
        </w:tc>
        <w:tc>
          <w:tcPr/>
          <w:p>
            <w:pPr>
              <w:pStyle w:val="Compact"/>
            </w:pPr>
            <w:r>
              <w:t xml:space="preserve">LPI-MEM-BID-2026-002</w:t>
            </w:r>
          </w:p>
        </w:tc>
      </w:tr>
      <w:tr>
        <w:tc>
          <w:tcPr/>
          <w:p>
            <w:pPr>
              <w:pStyle w:val="Compact"/>
            </w:pPr>
            <w:r>
              <w:rPr>
                <w:rFonts w:hint="eastAsia"/>
              </w:rPr>
              <w:t xml:space="preserve">融资</w:t>
            </w:r>
          </w:p>
        </w:tc>
        <w:tc>
          <w:tcPr/>
          <w:p>
            <w:pPr>
              <w:pStyle w:val="Compact"/>
            </w:pPr>
            <w:r>
              <w:t xml:space="preserve">BID 4962/OC-DR </w:t>
            </w:r>
            <w:r>
              <w:rPr>
                <w:rFonts w:hint="eastAsia"/>
              </w:rPr>
              <w:t xml:space="preserve">(美洲开发银行)</w:t>
            </w:r>
            <w:r>
              <w:t xml:space="preserve"> + JICA </w:t>
            </w:r>
            <w:r>
              <w:rPr>
                <w:rFonts w:hint="eastAsia"/>
              </w:rPr>
              <w:t xml:space="preserve">(日本国际协力机构)</w:t>
            </w:r>
          </w:p>
        </w:tc>
      </w:tr>
      <w:tr>
        <w:tc>
          <w:tcPr/>
          <w:p>
            <w:pPr>
              <w:pStyle w:val="Compact"/>
            </w:pPr>
            <w:r>
              <w:rPr>
                <w:rFonts w:hint="eastAsia"/>
              </w:rPr>
              <w:t xml:space="preserve">执行部门</w:t>
            </w:r>
          </w:p>
        </w:tc>
        <w:tc>
          <w:tcPr/>
          <w:p>
            <w:pPr>
              <w:pStyle w:val="Compact"/>
            </w:pPr>
            <w:r>
              <w:rPr>
                <w:rFonts w:hint="eastAsia"/>
              </w:rPr>
              <w:t xml:space="preserve">能源和矿业部</w:t>
            </w:r>
            <w:r>
              <w:t xml:space="preserve"> (MEMRD) - </w:t>
            </w:r>
            <w:r>
              <w:rPr>
                <w:rFonts w:hint="eastAsia"/>
              </w:rPr>
              <w:t xml:space="preserve">项目执行单位</w:t>
            </w:r>
            <w:r>
              <w:t xml:space="preserve"> (UEP)</w:t>
            </w:r>
          </w:p>
        </w:tc>
      </w:tr>
      <w:tr>
        <w:tc>
          <w:tcPr/>
          <w:p>
            <w:pPr>
              <w:pStyle w:val="Compact"/>
            </w:pPr>
            <w:r>
              <w:rPr>
                <w:rFonts w:hint="eastAsia"/>
              </w:rPr>
              <w:t xml:space="preserve">涉及公司</w:t>
            </w:r>
          </w:p>
        </w:tc>
        <w:tc>
          <w:tcPr/>
          <w:p>
            <w:pPr>
              <w:pStyle w:val="Compact"/>
            </w:pPr>
            <w:r>
              <w:t xml:space="preserve">EDESUR, EDENORTE, EDEESTE</w:t>
            </w:r>
          </w:p>
        </w:tc>
      </w:tr>
    </w:tbl>
    <w:p>
      <w:r>
        <w:pict>
          <v:rect style="width:0;height:1.5pt" o:hralign="center" o:hrstd="t" o:hr="t"/>
        </w:pict>
      </w:r>
    </w:p>
    <w:bookmarkEnd w:id="9"/>
    <w:bookmarkStart w:id="10" w:name="目录"/>
    <w:p>
      <w:pPr>
        <w:pStyle w:val="Heading2"/>
      </w:pPr>
      <w:r>
        <w:rPr>
          <w:rFonts w:hint="eastAsia"/>
        </w:rPr>
        <w:t xml:space="preserve">目录</w:t>
      </w:r>
    </w:p>
    <w:p>
      <w:pPr>
        <w:pStyle w:val="Compact"/>
        <w:numPr>
          <w:ilvl w:val="0"/>
          <w:numId w:val="1001"/>
        </w:numPr>
      </w:pPr>
      <w:r>
        <w:rPr>
          <w:rFonts w:hint="eastAsia"/>
        </w:rPr>
        <w:t xml:space="preserve">背景</w:t>
      </w:r>
    </w:p>
    <w:p>
      <w:pPr>
        <w:pStyle w:val="Compact"/>
        <w:numPr>
          <w:ilvl w:val="0"/>
          <w:numId w:val="1001"/>
        </w:numPr>
      </w:pPr>
      <w:r>
        <w:rPr>
          <w:rFonts w:hint="eastAsia"/>
        </w:rPr>
        <w:t xml:space="preserve">介绍</w:t>
      </w:r>
    </w:p>
    <w:p>
      <w:pPr>
        <w:pStyle w:val="Compact"/>
        <w:numPr>
          <w:ilvl w:val="0"/>
          <w:numId w:val="1001"/>
        </w:numPr>
      </w:pPr>
      <w:r>
        <w:rPr>
          <w:rFonts w:hint="eastAsia"/>
        </w:rPr>
        <w:t xml:space="preserve">目标</w:t>
      </w:r>
    </w:p>
    <w:p>
      <w:pPr>
        <w:pStyle w:val="Compact"/>
        <w:numPr>
          <w:ilvl w:val="0"/>
          <w:numId w:val="1001"/>
        </w:numPr>
      </w:pPr>
      <w:r>
        <w:rPr>
          <w:rFonts w:hint="eastAsia"/>
        </w:rPr>
        <w:t xml:space="preserve">范围</w:t>
      </w:r>
    </w:p>
    <w:p>
      <w:pPr>
        <w:pStyle w:val="Compact"/>
        <w:numPr>
          <w:ilvl w:val="0"/>
          <w:numId w:val="1001"/>
        </w:numPr>
      </w:pPr>
      <w:r>
        <w:rPr>
          <w:rFonts w:hint="eastAsia"/>
        </w:rPr>
        <w:t xml:space="preserve">执行期</w:t>
      </w:r>
    </w:p>
    <w:p>
      <w:pPr>
        <w:pStyle w:val="Compact"/>
        <w:numPr>
          <w:ilvl w:val="0"/>
          <w:numId w:val="1001"/>
        </w:numPr>
      </w:pPr>
      <w:r>
        <w:rPr>
          <w:rFonts w:hint="eastAsia"/>
        </w:rPr>
        <w:t xml:space="preserve">执行地点</w:t>
      </w:r>
    </w:p>
    <w:p>
      <w:pPr>
        <w:pStyle w:val="Compact"/>
        <w:numPr>
          <w:ilvl w:val="0"/>
          <w:numId w:val="1001"/>
        </w:numPr>
      </w:pPr>
      <w:r>
        <w:rPr>
          <w:rFonts w:hint="eastAsia"/>
        </w:rPr>
        <w:t xml:space="preserve">技术功能要求</w:t>
      </w:r>
    </w:p>
    <w:p>
      <w:pPr>
        <w:pStyle w:val="Compact"/>
        <w:numPr>
          <w:ilvl w:val="0"/>
          <w:numId w:val="1001"/>
        </w:numPr>
      </w:pPr>
      <w:r>
        <w:rPr>
          <w:rFonts w:hint="eastAsia"/>
        </w:rPr>
        <w:t xml:space="preserve">供应材料</w:t>
      </w:r>
    </w:p>
    <w:p>
      <w:pPr>
        <w:pStyle w:val="Compact"/>
        <w:numPr>
          <w:ilvl w:val="0"/>
          <w:numId w:val="1001"/>
        </w:numPr>
      </w:pPr>
      <w:r>
        <w:rPr>
          <w:rFonts w:hint="eastAsia"/>
        </w:rPr>
        <w:t xml:space="preserve">质保</w:t>
      </w:r>
    </w:p>
    <w:p>
      <w:pPr>
        <w:pStyle w:val="Compact"/>
        <w:numPr>
          <w:ilvl w:val="0"/>
          <w:numId w:val="1001"/>
        </w:numPr>
      </w:pPr>
      <w:r>
        <w:rPr>
          <w:rFonts w:hint="eastAsia"/>
        </w:rPr>
        <w:t xml:space="preserve">结构和人员</w:t>
      </w:r>
    </w:p>
    <w:p>
      <w:pPr>
        <w:pStyle w:val="Compact"/>
        <w:numPr>
          <w:ilvl w:val="0"/>
          <w:numId w:val="1001"/>
        </w:numPr>
      </w:pPr>
      <w:r>
        <w:rPr>
          <w:rFonts w:hint="eastAsia"/>
        </w:rPr>
        <w:t xml:space="preserve">班组</w:t>
      </w:r>
    </w:p>
    <w:p>
      <w:pPr>
        <w:pStyle w:val="Compact"/>
        <w:numPr>
          <w:ilvl w:val="0"/>
          <w:numId w:val="1001"/>
        </w:numPr>
      </w:pPr>
      <w:r>
        <w:rPr>
          <w:rFonts w:hint="eastAsia"/>
        </w:rPr>
        <w:t xml:space="preserve">工作要求</w:t>
      </w:r>
    </w:p>
    <w:p>
      <w:pPr>
        <w:pStyle w:val="Compact"/>
        <w:numPr>
          <w:ilvl w:val="0"/>
          <w:numId w:val="1001"/>
        </w:numPr>
      </w:pPr>
      <w:r>
        <w:rPr>
          <w:rFonts w:hint="eastAsia"/>
        </w:rPr>
        <w:t xml:space="preserve">法规/环境/安全要求</w:t>
      </w:r>
    </w:p>
    <w:p>
      <w:pPr>
        <w:pStyle w:val="Compact"/>
        <w:numPr>
          <w:ilvl w:val="0"/>
          <w:numId w:val="1001"/>
        </w:numPr>
      </w:pPr>
      <w:r>
        <w:rPr>
          <w:rFonts w:hint="eastAsia"/>
        </w:rPr>
        <w:t xml:space="preserve">时间和里程碑</w:t>
      </w:r>
    </w:p>
    <w:p>
      <w:pPr>
        <w:pStyle w:val="Compact"/>
        <w:numPr>
          <w:ilvl w:val="0"/>
          <w:numId w:val="1001"/>
        </w:numPr>
      </w:pPr>
      <w:r>
        <w:rPr>
          <w:rFonts w:hint="eastAsia"/>
        </w:rPr>
        <w:t xml:space="preserve">其他要求</w:t>
      </w:r>
    </w:p>
    <w:p>
      <w:pPr>
        <w:pStyle w:val="Compact"/>
        <w:numPr>
          <w:ilvl w:val="0"/>
          <w:numId w:val="1001"/>
        </w:numPr>
      </w:pPr>
      <w:r>
        <w:rPr>
          <w:rFonts w:hint="eastAsia"/>
        </w:rPr>
        <w:t xml:space="preserve">罚款</w:t>
      </w:r>
    </w:p>
    <w:p>
      <w:r>
        <w:pict>
          <v:rect style="width:0;height:1.5pt" o:hralign="center" o:hrstd="t" o:hr="t"/>
        </w:pict>
      </w:r>
    </w:p>
    <w:bookmarkEnd w:id="10"/>
    <w:bookmarkStart w:id="11" w:name="背景"/>
    <w:p>
      <w:pPr>
        <w:pStyle w:val="Heading2"/>
      </w:pPr>
      <w:r>
        <w:t xml:space="preserve">1. </w:t>
      </w:r>
      <w:r>
        <w:rPr>
          <w:rFonts w:hint="eastAsia"/>
        </w:rPr>
        <w:t xml:space="preserve">背景</w:t>
      </w:r>
    </w:p>
    <w:p>
      <w:pPr>
        <w:pStyle w:val="FirstParagraph"/>
      </w:pPr>
      <w:r>
        <w:rPr>
          <w:rFonts w:hint="eastAsia"/>
        </w:rPr>
        <w:t xml:space="preserve">在国家发展战略框架下，根据国家能源效率政策和电力行业可持续发展政策，多米尼加共和国政府执行”多米尼加共和国能源效率计划”(DR-L1122)，通过能源和矿业部(MEMRD)的项目执行单位(UEP)以及EDESUR、EDENORTE和EDEESTE的项目部门，由美洲开发银行(BID)和日本国际协力机构(JICA)融资，旨在帮助定义通过部署智能远程管理和控制中心来现代化公共照明管理的必要性。这一举措旨在通过使用通信、监控和LED路灯远程控制技术，改善运营效率、降低能源损失、优化维护成本并加强服务质量，符合国际标准和现行国家法规。</w:t>
      </w:r>
    </w:p>
    <w:p>
      <w:r>
        <w:pict>
          <v:rect style="width:0;height:1.5pt" o:hralign="center" o:hrstd="t" o:hr="t"/>
        </w:pict>
      </w:r>
    </w:p>
    <w:bookmarkEnd w:id="11"/>
    <w:bookmarkStart w:id="12" w:name="介绍"/>
    <w:p>
      <w:pPr>
        <w:pStyle w:val="Heading2"/>
      </w:pPr>
      <w:r>
        <w:t xml:space="preserve">2. </w:t>
      </w:r>
      <w:r>
        <w:rPr>
          <w:rFonts w:hint="eastAsia"/>
        </w:rPr>
        <w:t xml:space="preserve">介绍</w:t>
      </w:r>
    </w:p>
    <w:p>
      <w:pPr>
        <w:pStyle w:val="FirstParagraph"/>
      </w:pPr>
      <w:r>
        <w:rPr>
          <w:rFonts w:hint="eastAsia"/>
        </w:rPr>
        <w:t xml:space="preserve">本工作声明定义了实施”公共照明远程管理和控制中心”项目的范围、活动、硬件、许可证、服务和成功标准，该项目将在EDE的特许经营区域内进行。</w:t>
      </w:r>
    </w:p>
    <w:p>
      <w:r>
        <w:pict>
          <v:rect style="width:0;height:1.5pt" o:hralign="center" o:hrstd="t" o:hr="t"/>
        </w:pict>
      </w:r>
    </w:p>
    <w:bookmarkEnd w:id="12"/>
    <w:bookmarkStart w:id="13" w:name="目标"/>
    <w:p>
      <w:pPr>
        <w:pStyle w:val="Heading2"/>
      </w:pPr>
      <w:r>
        <w:t xml:space="preserve">3. </w:t>
      </w:r>
      <w:r>
        <w:rPr>
          <w:rFonts w:hint="eastAsia"/>
        </w:rPr>
        <w:t xml:space="preserve">目标</w:t>
      </w:r>
    </w:p>
    <w:p>
      <w:pPr>
        <w:pStyle w:val="FirstParagraph"/>
      </w:pPr>
      <w:r>
        <w:rPr>
          <w:rFonts w:hint="eastAsia"/>
        </w:rPr>
        <w:t xml:space="preserve">本流程的目标是在每个EDE安装公共照明控制中心。为此，将在所有LED技术路灯上安装具有NEMA</w:t>
      </w:r>
      <w:r>
        <w:t xml:space="preserve"> </w:t>
      </w:r>
      <w:r>
        <w:rPr>
          <w:rFonts w:hint="eastAsia"/>
        </w:rPr>
        <w:t xml:space="preserve">7针协议的通信和控制节点。将为路灯监控数据的通信安装总计1,036个网关设备，使用LoRaWAN、Zigbee、Wi-Sun、专有协议或任何MESH网络系统进行通信。每个网关将</w:t>
      </w:r>
      <w:r>
        <w:t xml:space="preserve"> </w:t>
      </w:r>
      <w:r>
        <w:rPr>
          <w:rFonts w:hint="eastAsia"/>
        </w:rPr>
        <w:t xml:space="preserve">grouping≥200盏路灯，数据存储服务器的通信将通过支持的RF技术、LoRaWAN、Zigbee、Wi-Sun、专有协议或任何MESH网络系统进行。</w:t>
      </w:r>
    </w:p>
    <w:p>
      <w:r>
        <w:pict>
          <v:rect style="width:0;height:1.5pt" o:hralign="center" o:hrstd="t" o:hr="t"/>
        </w:pict>
      </w:r>
    </w:p>
    <w:bookmarkEnd w:id="13"/>
    <w:bookmarkStart w:id="17" w:name="范围"/>
    <w:p>
      <w:pPr>
        <w:pStyle w:val="Heading2"/>
      </w:pPr>
      <w:r>
        <w:t xml:space="preserve">4. </w:t>
      </w:r>
      <w:r>
        <w:rPr>
          <w:rFonts w:hint="eastAsia"/>
        </w:rPr>
        <w:t xml:space="preserve">范围</w:t>
      </w:r>
    </w:p>
    <w:bookmarkStart w:id="14" w:name="工作方法考虑因素"/>
    <w:p>
      <w:pPr>
        <w:pStyle w:val="Heading3"/>
      </w:pPr>
      <w:r>
        <w:rPr>
          <w:rFonts w:hint="eastAsia"/>
        </w:rPr>
        <w:t xml:space="preserve">工作方法考虑因素：</w:t>
      </w:r>
    </w:p>
    <w:p>
      <w:pPr>
        <w:numPr>
          <w:ilvl w:val="0"/>
          <w:numId w:val="1002"/>
        </w:numPr>
      </w:pPr>
      <w:r>
        <w:rPr>
          <w:rFonts w:hint="eastAsia"/>
          <w:b/>
          <w:bCs/>
        </w:rPr>
        <w:t xml:space="preserve">地形考虑</w:t>
      </w:r>
      <w:r>
        <w:rPr>
          <w:rFonts w:hint="eastAsia"/>
        </w:rPr>
        <w:t xml:space="preserve">：分析地形地貌、障碍物存在、城市或农村特征，以及任何可能影响信号传播的物理因素。</w:t>
      </w:r>
    </w:p>
    <w:p>
      <w:pPr>
        <w:numPr>
          <w:ilvl w:val="0"/>
          <w:numId w:val="1002"/>
        </w:numPr>
      </w:pPr>
      <w:r>
        <w:rPr>
          <w:rFonts w:hint="eastAsia"/>
          <w:b/>
          <w:bCs/>
        </w:rPr>
        <w:t xml:space="preserve">选定技术考虑</w:t>
      </w:r>
      <w:r>
        <w:rPr>
          <w:rFonts w:hint="eastAsia"/>
        </w:rPr>
        <w:t xml:space="preserve">：评估LoRaWAN、Zigbee、Wi-Sun、专有协议或MESH网络系统(频率、传输功率、天线类型、传播因子等)的自身参数。</w:t>
      </w:r>
    </w:p>
    <w:p>
      <w:pPr>
        <w:numPr>
          <w:ilvl w:val="0"/>
          <w:numId w:val="1002"/>
        </w:numPr>
      </w:pPr>
      <w:r>
        <w:rPr>
          <w:rFonts w:hint="eastAsia"/>
          <w:b/>
          <w:bCs/>
        </w:rPr>
        <w:t xml:space="preserve">区域分类</w:t>
      </w:r>
      <w:r>
        <w:rPr>
          <w:rFonts w:hint="eastAsia"/>
        </w:rPr>
        <w:t xml:space="preserve">：根据形态学(城市、城郊、农村、工业、森林等)对研究区域进行分类，以便在必要时模拟不同的行为。</w:t>
      </w:r>
    </w:p>
    <w:p>
      <w:pPr>
        <w:numPr>
          <w:ilvl w:val="0"/>
          <w:numId w:val="1002"/>
        </w:numPr>
      </w:pPr>
      <w:r>
        <w:rPr>
          <w:rFonts w:hint="eastAsia"/>
          <w:b/>
          <w:bCs/>
        </w:rPr>
        <w:t xml:space="preserve">选址建议和分析</w:t>
      </w:r>
      <w:r>
        <w:rPr>
          <w:rFonts w:hint="eastAsia"/>
        </w:rPr>
        <w:t xml:space="preserve">：识别可能的网关安装点，考虑高度、可及性、可用基础设施和覆盖范围预测。</w:t>
      </w:r>
    </w:p>
    <w:p>
      <w:pPr>
        <w:numPr>
          <w:ilvl w:val="0"/>
          <w:numId w:val="1002"/>
        </w:numPr>
      </w:pPr>
      <w:r>
        <w:rPr>
          <w:rFonts w:hint="eastAsia"/>
          <w:b/>
          <w:bCs/>
        </w:rPr>
        <w:t xml:space="preserve">其他相关参数</w:t>
      </w:r>
      <w:r>
        <w:rPr>
          <w:rFonts w:hint="eastAsia"/>
        </w:rPr>
        <w:t xml:space="preserve">：包括可能影响网络部署的任何技术、监管或物流条件。</w:t>
      </w:r>
    </w:p>
    <w:p>
      <w:pPr>
        <w:numPr>
          <w:ilvl w:val="0"/>
          <w:numId w:val="1002"/>
        </w:numPr>
      </w:pPr>
      <w:r>
        <w:rPr>
          <w:rFonts w:hint="eastAsia"/>
          <w:b/>
          <w:bCs/>
        </w:rPr>
        <w:t xml:space="preserve">模拟配置和结果分析</w:t>
      </w:r>
      <w:r>
        <w:rPr>
          <w:rFonts w:hint="eastAsia"/>
        </w:rPr>
        <w:t xml:space="preserve">：执行传播模型和覆盖模拟，结合物理验证测试，以获得预期性能的准确评估。</w:t>
      </w:r>
    </w:p>
    <w:bookmarkEnd w:id="14"/>
    <w:bookmarkStart w:id="15" w:name="供应和安装网关设备"/>
    <w:p>
      <w:pPr>
        <w:pStyle w:val="Heading3"/>
      </w:pPr>
      <w:r>
        <w:rPr>
          <w:rFonts w:hint="eastAsia"/>
        </w:rPr>
        <w:t xml:space="preserve">供应和安装网关设备</w:t>
      </w:r>
    </w:p>
    <w:p>
      <w:pPr>
        <w:pStyle w:val="FirstParagraph"/>
      </w:pPr>
      <w:r>
        <w:rPr>
          <w:rFonts w:hint="eastAsia"/>
        </w:rPr>
        <w:t xml:space="preserve">中标方还需供应和安装总计1,036个网关设备，使用LoRaWAN、Zigbee、Wi-Sun、专有协议或MESH网络系统战略性地放置，以优化通信网络的覆盖和效率。每个网关应配置为最多管理200盏路灯，通信参数正确分配和验证。安装必须符合防风雨要求，并具有稳定的电源供应。在投入使用前，应进行覆盖和可靠性测试，以确认与相应路灯的通信覆盖和性能。</w:t>
      </w:r>
    </w:p>
    <w:bookmarkEnd w:id="15"/>
    <w:bookmarkStart w:id="16" w:name="数据通信配置"/>
    <w:p>
      <w:pPr>
        <w:pStyle w:val="Heading3"/>
      </w:pPr>
      <w:r>
        <w:rPr>
          <w:rFonts w:hint="eastAsia"/>
        </w:rPr>
        <w:t xml:space="preserve">数据通信配置</w:t>
      </w:r>
    </w:p>
    <w:p>
      <w:pPr>
        <w:pStyle w:val="FirstParagraph"/>
      </w:pPr>
      <w:r>
        <w:rPr>
          <w:rFonts w:hint="eastAsia"/>
        </w:rPr>
        <w:t xml:space="preserve">关于数据通信，承包商应通过移动网络建立传输，优先使用LoRaWAN、Zigbee、Wi-Sun技术。</w:t>
      </w:r>
    </w:p>
    <w:p>
      <w:r>
        <w:pict>
          <v:rect style="width:0;height:1.5pt" o:hralign="center" o:hrstd="t" o:hr="t"/>
        </w:pict>
      </w:r>
    </w:p>
    <w:bookmarkEnd w:id="16"/>
    <w:bookmarkEnd w:id="17"/>
    <w:bookmarkStart w:id="18" w:name="执行期"/>
    <w:p>
      <w:pPr>
        <w:pStyle w:val="Heading2"/>
      </w:pPr>
      <w:r>
        <w:t xml:space="preserve">5. </w:t>
      </w:r>
      <w:r>
        <w:rPr>
          <w:rFonts w:hint="eastAsia"/>
        </w:rPr>
        <w:t xml:space="preserve">执行期</w:t>
      </w:r>
    </w:p>
    <w:p>
      <w:pPr>
        <w:pStyle w:val="FirstParagraph"/>
      </w:pPr>
      <w:r>
        <w:rPr>
          <w:rFonts w:hint="eastAsia"/>
          <w:i/>
          <w:iCs/>
        </w:rPr>
        <w:t xml:space="preserve">(待确定)</w:t>
      </w:r>
    </w:p>
    <w:p>
      <w:r>
        <w:pict>
          <v:rect style="width:0;height:1.5pt" o:hralign="center" o:hrstd="t" o:hr="t"/>
        </w:pict>
      </w:r>
    </w:p>
    <w:bookmarkEnd w:id="18"/>
    <w:bookmarkStart w:id="19" w:name="执行地点"/>
    <w:p>
      <w:pPr>
        <w:pStyle w:val="Heading2"/>
      </w:pPr>
      <w:r>
        <w:t xml:space="preserve">6. </w:t>
      </w:r>
      <w:r>
        <w:rPr>
          <w:rFonts w:hint="eastAsia"/>
        </w:rPr>
        <w:t xml:space="preserve">执行地点</w:t>
      </w:r>
    </w:p>
    <w:p>
      <w:pPr>
        <w:pStyle w:val="FirstParagraph"/>
      </w:pPr>
      <w:r>
        <w:rPr>
          <w:rFonts w:hint="eastAsia"/>
        </w:rPr>
        <w:t xml:space="preserve">在EDESUR��EDENORTE和EDEESTE的特许经营区域。</w:t>
      </w:r>
    </w:p>
    <w:p>
      <w:r>
        <w:pict>
          <v:rect style="width:0;height:1.5pt" o:hralign="center" o:hrstd="t" o:hr="t"/>
        </w:pict>
      </w:r>
    </w:p>
    <w:bookmarkEnd w:id="19"/>
    <w:bookmarkStart w:id="25" w:name="技术功能要求"/>
    <w:p>
      <w:pPr>
        <w:pStyle w:val="Heading2"/>
      </w:pPr>
      <w:r>
        <w:t xml:space="preserve">7. </w:t>
      </w:r>
      <w:r>
        <w:rPr>
          <w:rFonts w:hint="eastAsia"/>
        </w:rPr>
        <w:t xml:space="preserve">技术功能要求</w:t>
      </w:r>
    </w:p>
    <w:bookmarkStart w:id="20" w:name="物理硬件要求"/>
    <w:p>
      <w:pPr>
        <w:pStyle w:val="Heading3"/>
      </w:pPr>
      <w:r>
        <w:t xml:space="preserve">7.1 </w:t>
      </w:r>
      <w:r>
        <w:rPr>
          <w:rFonts w:hint="eastAsia"/>
        </w:rPr>
        <w:t xml:space="preserve">物理/硬件要求</w:t>
      </w:r>
    </w:p>
    <w:p>
      <w:pPr>
        <w:pStyle w:val="FirstParagraph"/>
      </w:pPr>
      <w:r>
        <w:rPr>
          <w:rFonts w:hint="eastAsia"/>
          <w:i/>
          <w:iCs/>
        </w:rPr>
        <w:t xml:space="preserve">(待详细说明)</w:t>
      </w:r>
    </w:p>
    <w:bookmarkEnd w:id="20"/>
    <w:bookmarkStart w:id="21" w:name="技术基础设施要求"/>
    <w:p>
      <w:pPr>
        <w:pStyle w:val="Heading3"/>
      </w:pPr>
      <w:r>
        <w:t xml:space="preserve">7.2 </w:t>
      </w:r>
      <w:r>
        <w:rPr>
          <w:rFonts w:hint="eastAsia"/>
        </w:rPr>
        <w:t xml:space="preserve">技术基础设施要求</w:t>
      </w:r>
    </w:p>
    <w:p>
      <w:pPr>
        <w:pStyle w:val="FirstParagraph"/>
      </w:pPr>
      <w:r>
        <w:rPr>
          <w:rFonts w:hint="eastAsia"/>
          <w:i/>
          <w:iCs/>
        </w:rPr>
        <w:t xml:space="preserve">(待详细说明)</w:t>
      </w:r>
    </w:p>
    <w:bookmarkEnd w:id="21"/>
    <w:bookmarkStart w:id="22" w:name="功能要求"/>
    <w:p>
      <w:pPr>
        <w:pStyle w:val="Heading3"/>
      </w:pPr>
      <w:r>
        <w:t xml:space="preserve">7.3 </w:t>
      </w:r>
      <w:r>
        <w:rPr>
          <w:rFonts w:hint="eastAsia"/>
        </w:rPr>
        <w:t xml:space="preserve">功能要求</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主要HES功能</w:t>
            </w:r>
          </w:p>
        </w:tc>
        <w:tc>
          <w:tcPr/>
          <w:p>
            <w:pPr>
              <w:pStyle w:val="Compact"/>
            </w:pPr>
            <w:r>
              <w:rPr>
                <w:rFonts w:hint="eastAsia"/>
              </w:rPr>
              <w:t xml:space="preserve">说明</w:t>
            </w:r>
          </w:p>
        </w:tc>
      </w:tr>
      <w:tr>
        <w:tc>
          <w:tcPr/>
          <w:p>
            <w:pPr>
              <w:pStyle w:val="Compact"/>
            </w:pPr>
            <w:r>
              <w:t xml:space="preserve">23</w:t>
            </w:r>
          </w:p>
        </w:tc>
        <w:tc>
          <w:tcPr/>
          <w:p>
            <w:pPr>
              <w:pStyle w:val="Compact"/>
            </w:pPr>
            <w:r>
              <w:rPr>
                <w:rFonts w:hint="eastAsia"/>
              </w:rPr>
              <w:t xml:space="preserve">用户角色</w:t>
            </w:r>
          </w:p>
        </w:tc>
      </w:tr>
      <w:tr>
        <w:tc>
          <w:tcPr/>
          <w:p>
            <w:pPr>
              <w:pStyle w:val="Compact"/>
            </w:pPr>
            <w:r>
              <w:t xml:space="preserve">24</w:t>
            </w:r>
          </w:p>
        </w:tc>
        <w:tc>
          <w:tcPr/>
          <w:p>
            <w:pPr>
              <w:pStyle w:val="Compact"/>
            </w:pPr>
            <w:r>
              <w:rPr>
                <w:rFonts w:hint="eastAsia"/>
              </w:rPr>
              <w:t xml:space="preserve">活动目录(AD)</w:t>
            </w:r>
          </w:p>
        </w:tc>
      </w:tr>
    </w:tbl>
    <w:bookmarkEnd w:id="22"/>
    <w:bookmarkStart w:id="24" w:name="互操作性技术要求"/>
    <w:p>
      <w:pPr>
        <w:pStyle w:val="Heading3"/>
      </w:pPr>
      <w:r>
        <w:t xml:space="preserve">7.4 </w:t>
      </w:r>
      <w:r>
        <w:rPr>
          <w:rFonts w:hint="eastAsia"/>
        </w:rPr>
        <w:t xml:space="preserve">互操作性技术要求</w:t>
      </w:r>
    </w:p>
    <w:p>
      <w:pPr>
        <w:pStyle w:val="FirstParagraph"/>
      </w:pPr>
      <w:r>
        <w:rPr>
          <w:rFonts w:hint="eastAsia"/>
        </w:rPr>
        <w:t xml:space="preserve">公共照明系统(AP)必须满足与并行内部系统(计费、MDMS、GIS、资产管理)互操作性的强制性技术要求。AP系统必须暴露强大而安全的应用程序接口(API)，以允许查询数据、操作命令和远程管理公共照明(AP)功能。</w:t>
      </w:r>
    </w:p>
    <w:bookmarkStart w:id="23" w:name="架构和通信要求"/>
    <w:p>
      <w:pPr>
        <w:pStyle w:val="Heading4"/>
      </w:pPr>
      <w:r>
        <w:t xml:space="preserve">7.4.1 </w:t>
      </w:r>
      <w:r>
        <w:rPr>
          <w:rFonts w:hint="eastAsia"/>
        </w:rPr>
        <w:t xml:space="preserve">架构和通信要求</w:t>
      </w:r>
    </w:p>
    <w:p>
      <w:pPr>
        <w:pStyle w:val="FirstParagraph"/>
      </w:pPr>
      <w:r>
        <w:rPr>
          <w:rFonts w:hint="eastAsia"/>
        </w:rPr>
        <w:t xml:space="preserve">AP系统必须遵守以下通信标准：</w:t>
      </w:r>
    </w:p>
    <w:tbl>
      <w:tblPr>
        <w:tblStyle w:val="Table"/>
        <w:tblW w:type="pct" w:w="5000"/>
        <w:tblLayout w:type="fixed"/>
        <w:tblLook w:firstRow="1" w:lastRow="0" w:firstColumn="0" w:lastColumn="0" w:noHBand="0" w:noVBand="0" w:val="0020"/>
      </w:tblPr>
      <w:tblGrid>
        <w:gridCol w:w="3771"/>
        <w:gridCol w:w="4148"/>
      </w:tblGrid>
      <w:tr>
        <w:trPr>
          <w:tblHeader w:val="on"/>
        </w:trPr>
        <w:tc>
          <w:tcPr/>
          <w:p>
            <w:pPr>
              <w:pStyle w:val="Compact"/>
            </w:pPr>
            <w:r>
              <w:rPr>
                <w:rFonts w:hint="eastAsia"/>
              </w:rPr>
              <w:t xml:space="preserve">技术要求</w:t>
            </w:r>
          </w:p>
        </w:tc>
        <w:tc>
          <w:tcPr/>
          <w:p>
            <w:pPr>
              <w:pStyle w:val="Compact"/>
            </w:pPr>
            <w:r>
              <w:rPr>
                <w:rFonts w:hint="eastAsia"/>
              </w:rPr>
              <w:t xml:space="preserve">详情和规范</w:t>
            </w:r>
          </w:p>
        </w:tc>
      </w:tr>
      <w:tr>
        <w:tc>
          <w:tcPr/>
          <w:p>
            <w:pPr>
              <w:pStyle w:val="Compact"/>
            </w:pPr>
            <w:r>
              <w:rPr>
                <w:rFonts w:hint="eastAsia"/>
                <w:b/>
                <w:bCs/>
              </w:rPr>
              <w:t xml:space="preserve">通信协议</w:t>
            </w:r>
          </w:p>
        </w:tc>
        <w:tc>
          <w:tcPr/>
          <w:p>
            <w:pPr>
              <w:pStyle w:val="Compact"/>
            </w:pPr>
            <w:r>
              <w:t xml:space="preserve">RESTful Web Services (REST </w:t>
            </w:r>
            <w:r>
              <w:rPr>
                <w:rFonts w:hint="eastAsia"/>
              </w:rPr>
              <w:t xml:space="preserve">API)。API必须是无状态的并遵循REST原则。</w:t>
            </w:r>
          </w:p>
        </w:tc>
      </w:tr>
      <w:tr>
        <w:tc>
          <w:tcPr/>
          <w:p>
            <w:pPr>
              <w:pStyle w:val="Compact"/>
            </w:pPr>
            <w:r>
              <w:rPr>
                <w:rFonts w:hint="eastAsia"/>
                <w:b/>
                <w:bCs/>
              </w:rPr>
              <w:t xml:space="preserve">交换格式</w:t>
            </w:r>
          </w:p>
        </w:tc>
        <w:tc>
          <w:tcPr/>
          <w:p>
            <w:pPr>
              <w:pStyle w:val="Compact"/>
            </w:pPr>
            <w:r>
              <w:t xml:space="preserve">JSON (JavaScript Object </w:t>
            </w:r>
            <w:r>
              <w:rPr>
                <w:rFonts w:hint="eastAsia"/>
              </w:rPr>
              <w:t xml:space="preserve">Notation)是请求和响应的必选格式。仅在特定遗留系统要求时接受XML。</w:t>
            </w:r>
          </w:p>
        </w:tc>
      </w:tr>
      <w:tr>
        <w:tc>
          <w:tcPr/>
          <w:p>
            <w:pPr>
              <w:pStyle w:val="Compact"/>
            </w:pPr>
            <w:r>
              <w:rPr>
                <w:rFonts w:hint="eastAsia"/>
                <w:b/>
                <w:bCs/>
              </w:rPr>
              <w:t xml:space="preserve">安全和认证</w:t>
            </w:r>
          </w:p>
        </w:tc>
        <w:tc>
          <w:tcPr/>
          <w:p>
            <w:pPr>
              <w:pStyle w:val="Compact"/>
            </w:pPr>
            <w:r>
              <w:rPr>
                <w:rFonts w:hint="eastAsia"/>
              </w:rPr>
              <w:t xml:space="preserve">实现OAuth</w:t>
            </w:r>
            <w:r>
              <w:t xml:space="preserve"> </w:t>
            </w:r>
            <w:r>
              <w:rPr>
                <w:rFonts w:hint="eastAsia"/>
              </w:rPr>
              <w:t xml:space="preserve">2.0或JSON</w:t>
            </w:r>
            <w:r>
              <w:t xml:space="preserve"> Web Tokens </w:t>
            </w:r>
            <w:r>
              <w:rPr>
                <w:rFonts w:hint="eastAsia"/>
              </w:rPr>
              <w:t xml:space="preserve">(JWT)。每个集成系统必须获得访问令牌，并仅具有其特定功能的权限(scope)。</w:t>
            </w:r>
          </w:p>
        </w:tc>
      </w:tr>
      <w:tr>
        <w:tc>
          <w:tcPr/>
          <w:p>
            <w:pPr>
              <w:pStyle w:val="Compact"/>
            </w:pPr>
            <w:r>
              <w:rPr>
                <w:rFonts w:hint="eastAsia"/>
                <w:b/>
                <w:bCs/>
              </w:rPr>
              <w:t xml:space="preserve">API文档</w:t>
            </w:r>
          </w:p>
        </w:tc>
        <w:tc>
          <w:tcPr/>
          <w:p>
            <w:pPr>
              <w:pStyle w:val="Compact"/>
            </w:pPr>
            <w:r>
              <w:rPr>
                <w:rFonts w:hint="eastAsia"/>
              </w:rPr>
              <w:t xml:space="preserve">在OpenAPI标准(Swagger)下提供完整、交互和更新的文档。必须包括数据模型、端点(资源)、必选参数和错误代码。</w:t>
            </w:r>
          </w:p>
        </w:tc>
      </w:tr>
      <w:tr>
        <w:tc>
          <w:tcPr/>
          <w:p>
            <w:pPr>
              <w:pStyle w:val="Compact"/>
            </w:pPr>
            <w:r>
              <w:rPr>
                <w:rFonts w:hint="eastAsia"/>
                <w:b/>
                <w:bCs/>
              </w:rPr>
              <w:t xml:space="preserve">性能和延迟</w:t>
            </w:r>
          </w:p>
        </w:tc>
        <w:tc>
          <w:tcPr/>
          <w:p>
            <w:pPr>
              <w:pStyle w:val="Compact"/>
            </w:pPr>
            <w:r>
              <w:rPr>
                <w:rFonts w:hint="eastAsia"/>
              </w:rPr>
              <w:t xml:space="preserve">数据查询API的响应延迟在95%的调用中必须低于500毫秒。</w:t>
            </w:r>
          </w:p>
        </w:tc>
      </w:tr>
      <w:tr>
        <w:tc>
          <w:tcPr/>
          <w:p>
            <w:pPr>
              <w:pStyle w:val="Compact"/>
            </w:pPr>
            <w:r>
              <w:rPr>
                <w:rFonts w:hint="eastAsia"/>
                <w:b/>
                <w:bCs/>
              </w:rPr>
              <w:t xml:space="preserve">负载管理</w:t>
            </w:r>
          </w:p>
        </w:tc>
        <w:tc>
          <w:tcPr/>
          <w:p>
            <w:pPr>
              <w:pStyle w:val="Compact"/>
            </w:pPr>
            <w:r>
              <w:rPr>
                <w:rFonts w:hint="eastAsia"/>
              </w:rPr>
              <w:t xml:space="preserve">实现速率限制(每时间段的请求限制)以保护集成系统免受过载。</w:t>
            </w:r>
          </w:p>
        </w:tc>
      </w:tr>
      <w:tr>
        <w:tc>
          <w:tcPr/>
          <w:p>
            <w:pPr>
              <w:pStyle w:val="Compact"/>
            </w:pPr>
            <w:r>
              <w:rPr>
                <w:rFonts w:hint="eastAsia"/>
                <w:b/>
                <w:bCs/>
              </w:rPr>
              <w:t xml:space="preserve">响应代码</w:t>
            </w:r>
          </w:p>
        </w:tc>
        <w:tc>
          <w:tcPr/>
          <w:p>
            <w:pPr>
              <w:pStyle w:val="Compact"/>
            </w:pPr>
            <w:r>
              <w:rPr>
                <w:rFonts w:hint="eastAsia"/>
              </w:rPr>
              <w:t xml:space="preserve">严格使用标准HTTP状态代码(200、201、400、401、403、404、500)，响应正文中包含详细错误消息。</w:t>
            </w:r>
          </w:p>
        </w:tc>
      </w:tr>
    </w:tbl>
    <w:p>
      <w:r>
        <w:pict>
          <v:rect style="width:0;height:1.5pt" o:hralign="center" o:hrstd="t" o:hr="t"/>
        </w:pict>
      </w:r>
    </w:p>
    <w:bookmarkEnd w:id="23"/>
    <w:bookmarkEnd w:id="24"/>
    <w:bookmarkEnd w:id="25"/>
    <w:bookmarkStart w:id="31" w:name="供应材料"/>
    <w:p>
      <w:pPr>
        <w:pStyle w:val="Heading2"/>
      </w:pPr>
      <w:r>
        <w:t xml:space="preserve">8. </w:t>
      </w:r>
      <w:r>
        <w:rPr>
          <w:rFonts w:hint="eastAsia"/>
        </w:rPr>
        <w:t xml:space="preserve">供应材料</w:t>
      </w:r>
    </w:p>
    <w:bookmarkStart w:id="26" w:name="远程管理节点"/>
    <w:p>
      <w:pPr>
        <w:pStyle w:val="Heading3"/>
      </w:pPr>
      <w:r>
        <w:t xml:space="preserve">8.1 </w:t>
      </w:r>
      <w:r>
        <w:rPr>
          <w:rFonts w:hint="eastAsia"/>
        </w:rPr>
        <w:t xml:space="preserve">远程管理节点</w:t>
      </w:r>
    </w:p>
    <w:p>
      <w:pPr>
        <w:pStyle w:val="FirstParagraph"/>
      </w:pPr>
      <w:r>
        <w:rPr>
          <w:rFonts w:hint="eastAsia"/>
          <w:i/>
          <w:iCs/>
        </w:rPr>
        <w:t xml:space="preserve">(待详细说明)</w:t>
      </w:r>
    </w:p>
    <w:bookmarkEnd w:id="26"/>
    <w:bookmarkStart w:id="27" w:name="网关"/>
    <w:p>
      <w:pPr>
        <w:pStyle w:val="Heading3"/>
      </w:pPr>
      <w:r>
        <w:t xml:space="preserve">8.2 </w:t>
      </w:r>
      <w:r>
        <w:rPr>
          <w:rFonts w:hint="eastAsia"/>
        </w:rPr>
        <w:t xml:space="preserve">网关</w:t>
      </w:r>
    </w:p>
    <w:p>
      <w:pPr>
        <w:pStyle w:val="FirstParagraph"/>
      </w:pPr>
      <w:r>
        <w:rPr>
          <w:rFonts w:hint="eastAsia"/>
        </w:rPr>
        <w:t xml:space="preserve">在智能公共照明系统中，网关是作为现场安装路灯与中央管理服务器之间的通信桥梁的关键设备。其主要功能是通过射频(RF)技术(LoRaWAN、Zigbee、Wi-Sun、专有协议或MESH网络系统)收集路灯发送的数据，并通过LTE移动连接将其传输到服务器。</w:t>
      </w:r>
    </w:p>
    <w:p>
      <w:pPr>
        <w:pStyle w:val="BodyText"/>
      </w:pPr>
      <w:r>
        <w:rPr>
          <w:rFonts w:hint="eastAsia"/>
        </w:rPr>
        <w:t xml:space="preserve">除了作为通信链路外，网关还允许远程管理每个光源，如开、关或亮度调节，并确保信息以安全、可靠和实时方式流动。其设计必须坚固以抵御恶劣环境条件，在连接丢失时具有本地存储能力，并准备好在多米尼加共和国的Claro或Altice等本地移动网络上运营。</w:t>
      </w:r>
    </w:p>
    <w:p>
      <w:pPr>
        <w:pStyle w:val="BodyText"/>
      </w:pPr>
      <w:r>
        <w:rPr>
          <w:rFonts w:hint="eastAsia"/>
        </w:rPr>
        <w:t xml:space="preserve">以下是用射频和LTE通信的公共照明安装监控网关的技术要求。网关应具有最少连接200盏路灯的能力。</w:t>
      </w:r>
    </w:p>
    <w:bookmarkEnd w:id="27"/>
    <w:bookmarkStart w:id="28" w:name="存储系统"/>
    <w:p>
      <w:pPr>
        <w:pStyle w:val="Heading3"/>
      </w:pPr>
      <w:r>
        <w:t xml:space="preserve">8.3 </w:t>
      </w:r>
      <w:r>
        <w:rPr>
          <w:rFonts w:hint="eastAsia"/>
        </w:rPr>
        <w:t xml:space="preserve">存储系统</w:t>
      </w:r>
    </w:p>
    <w:p>
      <w:pPr>
        <w:pStyle w:val="FirstParagraph"/>
      </w:pPr>
      <w:r>
        <w:rPr>
          <w:rFonts w:hint="eastAsia"/>
        </w:rPr>
        <w:t xml:space="preserve">服务器容量取决于报告频率：</w:t>
      </w:r>
    </w:p>
    <w:p>
      <w:pPr>
        <w:pStyle w:val="BodyText"/>
      </w:pPr>
      <w:r>
        <w:rPr>
          <w:b/>
          <w:bCs/>
        </w:rPr>
        <w:t xml:space="preserve">EDE SUR: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报告频率</w:t>
            </w:r>
          </w:p>
        </w:tc>
        <w:tc>
          <w:tcPr/>
          <w:p>
            <w:pPr>
              <w:pStyle w:val="Compact"/>
            </w:pPr>
            <w:r>
              <w:rPr>
                <w:rFonts w:hint="eastAsia"/>
              </w:rPr>
              <w:t xml:space="preserve">服务器容量</w:t>
            </w:r>
            <w:r>
              <w:t xml:space="preserve"> </w:t>
            </w:r>
            <w:r>
              <w:rPr>
                <w:rFonts w:hint="eastAsia"/>
              </w:rPr>
              <w:t xml:space="preserve">GB/年</w:t>
            </w:r>
          </w:p>
        </w:tc>
      </w:tr>
      <w:tr>
        <w:tc>
          <w:tcPr/>
          <w:p>
            <w:pPr>
              <w:pStyle w:val="Compact"/>
            </w:pPr>
            <w:r>
              <w:rPr>
                <w:rFonts w:hint="eastAsia"/>
              </w:rPr>
              <w:t xml:space="preserve">15分钟报告</w:t>
            </w:r>
          </w:p>
        </w:tc>
        <w:tc>
          <w:tcPr/>
          <w:p>
            <w:pPr>
              <w:pStyle w:val="Compact"/>
            </w:pPr>
            <w:r>
              <w:t xml:space="preserve">2,500</w:t>
            </w:r>
          </w:p>
        </w:tc>
      </w:tr>
      <w:tr>
        <w:tc>
          <w:tcPr/>
          <w:p>
            <w:pPr>
              <w:pStyle w:val="Compact"/>
            </w:pPr>
            <w:r>
              <w:rPr>
                <w:rFonts w:hint="eastAsia"/>
              </w:rPr>
              <w:t xml:space="preserve">小时报告</w:t>
            </w:r>
          </w:p>
        </w:tc>
        <w:tc>
          <w:tcPr/>
          <w:p>
            <w:pPr>
              <w:pStyle w:val="Compact"/>
            </w:pPr>
            <w:r>
              <w:t xml:space="preserve">700</w:t>
            </w:r>
          </w:p>
        </w:tc>
      </w:tr>
      <w:tr>
        <w:tc>
          <w:tcPr/>
          <w:p>
            <w:pPr>
              <w:pStyle w:val="Compact"/>
            </w:pPr>
            <w:r>
              <w:rPr>
                <w:rFonts w:hint="eastAsia"/>
              </w:rPr>
              <w:t xml:space="preserve">每日报告</w:t>
            </w:r>
          </w:p>
        </w:tc>
        <w:tc>
          <w:tcPr/>
          <w:p>
            <w:pPr>
              <w:pStyle w:val="Compact"/>
            </w:pPr>
            <w:r>
              <w:t xml:space="preserve">50</w:t>
            </w:r>
          </w:p>
        </w:tc>
      </w:tr>
    </w:tbl>
    <w:p>
      <w:pPr>
        <w:pStyle w:val="BodyText"/>
      </w:pPr>
      <w:r>
        <w:rPr>
          <w:b/>
          <w:bCs/>
        </w:rPr>
        <w:t xml:space="preserve">EDE NORTE: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报告频率</w:t>
            </w:r>
          </w:p>
        </w:tc>
        <w:tc>
          <w:tcPr/>
          <w:p>
            <w:pPr>
              <w:pStyle w:val="Compact"/>
            </w:pPr>
            <w:r>
              <w:rPr>
                <w:rFonts w:hint="eastAsia"/>
              </w:rPr>
              <w:t xml:space="preserve">服务器容量</w:t>
            </w:r>
            <w:r>
              <w:t xml:space="preserve"> </w:t>
            </w:r>
            <w:r>
              <w:rPr>
                <w:rFonts w:hint="eastAsia"/>
              </w:rPr>
              <w:t xml:space="preserve">GB/年</w:t>
            </w:r>
          </w:p>
        </w:tc>
      </w:tr>
      <w:tr>
        <w:tc>
          <w:tcPr/>
          <w:p>
            <w:pPr>
              <w:pStyle w:val="Compact"/>
            </w:pPr>
            <w:r>
              <w:rPr>
                <w:rFonts w:hint="eastAsia"/>
              </w:rPr>
              <w:t xml:space="preserve">15分钟报告</w:t>
            </w:r>
          </w:p>
        </w:tc>
        <w:tc>
          <w:tcPr/>
          <w:p>
            <w:pPr>
              <w:pStyle w:val="Compact"/>
            </w:pPr>
            <w:r>
              <w:t xml:space="preserve">2,500</w:t>
            </w:r>
          </w:p>
        </w:tc>
      </w:tr>
      <w:tr>
        <w:tc>
          <w:tcPr/>
          <w:p>
            <w:pPr>
              <w:pStyle w:val="Compact"/>
            </w:pPr>
            <w:r>
              <w:rPr>
                <w:rFonts w:hint="eastAsia"/>
              </w:rPr>
              <w:t xml:space="preserve">小时报告</w:t>
            </w:r>
          </w:p>
        </w:tc>
        <w:tc>
          <w:tcPr/>
          <w:p>
            <w:pPr>
              <w:pStyle w:val="Compact"/>
            </w:pPr>
            <w:r>
              <w:t xml:space="preserve">700</w:t>
            </w:r>
          </w:p>
        </w:tc>
      </w:tr>
      <w:tr>
        <w:tc>
          <w:tcPr/>
          <w:p>
            <w:pPr>
              <w:pStyle w:val="Compact"/>
            </w:pPr>
            <w:r>
              <w:rPr>
                <w:rFonts w:hint="eastAsia"/>
              </w:rPr>
              <w:t xml:space="preserve">每日报告</w:t>
            </w:r>
          </w:p>
        </w:tc>
        <w:tc>
          <w:tcPr/>
          <w:p>
            <w:pPr>
              <w:pStyle w:val="Compact"/>
            </w:pPr>
            <w:r>
              <w:t xml:space="preserve">50</w:t>
            </w:r>
          </w:p>
        </w:tc>
      </w:tr>
    </w:tbl>
    <w:bookmarkEnd w:id="28"/>
    <w:bookmarkStart w:id="29" w:name="网络安全"/>
    <w:p>
      <w:pPr>
        <w:pStyle w:val="Heading3"/>
      </w:pPr>
      <w:r>
        <w:t xml:space="preserve">8.4 </w:t>
      </w:r>
      <w:r>
        <w:rPr>
          <w:rFonts w:hint="eastAsia"/>
        </w:rPr>
        <w:t xml:space="preserve">网络安全</w:t>
      </w:r>
    </w:p>
    <w:p>
      <w:pPr>
        <w:pStyle w:val="FirstParagraph"/>
      </w:pPr>
      <w:r>
        <w:rPr>
          <w:rFonts w:hint="eastAsia"/>
          <w:i/>
          <w:iCs/>
        </w:rPr>
        <w:t xml:space="preserve">(待详细说明)</w:t>
      </w:r>
    </w:p>
    <w:bookmarkEnd w:id="29"/>
    <w:bookmarkStart w:id="30" w:name="法规合规"/>
    <w:p>
      <w:pPr>
        <w:pStyle w:val="Heading3"/>
      </w:pPr>
      <w:r>
        <w:t xml:space="preserve">8.5 </w:t>
      </w:r>
      <w:r>
        <w:rPr>
          <w:rFonts w:hint="eastAsia"/>
        </w:rPr>
        <w:t xml:space="preserve">法规合规</w:t>
      </w:r>
    </w:p>
    <w:p>
      <w:pPr>
        <w:pStyle w:val="FirstParagraph"/>
      </w:pPr>
      <w:r>
        <w:rPr>
          <w:rFonts w:hint="eastAsia"/>
        </w:rPr>
        <w:t xml:space="preserve">参考以下标准：</w:t>
      </w:r>
    </w:p>
    <w:p>
      <w:pPr>
        <w:pStyle w:val="Compact"/>
        <w:numPr>
          <w:ilvl w:val="0"/>
          <w:numId w:val="1003"/>
        </w:numPr>
      </w:pPr>
      <w:r>
        <w:rPr>
          <w:b/>
          <w:bCs/>
        </w:rPr>
        <w:t xml:space="preserve">ANSI C12.20</w:t>
      </w:r>
      <w:r>
        <w:t xml:space="preserve">: </w:t>
      </w:r>
      <w:r>
        <w:rPr>
          <w:rFonts w:hint="eastAsia"/>
        </w:rPr>
        <w:t xml:space="preserve">确保多米尼加共和国电力交易中公平准确的测量。</w:t>
      </w:r>
    </w:p>
    <w:p>
      <w:pPr>
        <w:pStyle w:val="Compact"/>
        <w:numPr>
          <w:ilvl w:val="0"/>
          <w:numId w:val="1003"/>
        </w:numPr>
      </w:pPr>
      <w:r>
        <w:rPr>
          <w:b/>
          <w:bCs/>
        </w:rPr>
        <w:t xml:space="preserve">ANSI C136.41/2020</w:t>
      </w:r>
      <w:r>
        <w:t xml:space="preserve">: </w:t>
      </w:r>
      <w:r>
        <w:rPr>
          <w:rFonts w:hint="eastAsia"/>
        </w:rPr>
        <w:t xml:space="preserve">定义路灯控制接口要求，特别是在智能公共照明中使用的”调光”型连接器。</w:t>
      </w:r>
    </w:p>
    <w:p>
      <w:pPr>
        <w:pStyle w:val="Compact"/>
        <w:numPr>
          <w:ilvl w:val="0"/>
          <w:numId w:val="1003"/>
        </w:numPr>
      </w:pPr>
      <w:r>
        <w:rPr>
          <w:b/>
          <w:bCs/>
        </w:rPr>
        <w:t xml:space="preserve">NEMA 3</w:t>
      </w:r>
      <w:r>
        <w:t xml:space="preserve">: </w:t>
      </w:r>
      <w:r>
        <w:rPr>
          <w:rFonts w:hint="eastAsia"/>
        </w:rPr>
        <w:t xml:space="preserve">指定户外使用的电气机柜类型，保护内部元件防雨、雪和灰尘。</w:t>
      </w:r>
    </w:p>
    <w:p>
      <w:pPr>
        <w:pStyle w:val="Compact"/>
        <w:numPr>
          <w:ilvl w:val="0"/>
          <w:numId w:val="1003"/>
        </w:numPr>
      </w:pPr>
      <w:r>
        <w:rPr>
          <w:b/>
          <w:bCs/>
        </w:rPr>
        <w:t xml:space="preserve">IEC-62053-21</w:t>
      </w:r>
      <w:r>
        <w:t xml:space="preserve">: </w:t>
      </w:r>
      <w:r>
        <w:rPr>
          <w:rFonts w:hint="eastAsia"/>
        </w:rPr>
        <w:t xml:space="preserve">监管有功电能静态表的要求和性能。</w:t>
      </w:r>
    </w:p>
    <w:p>
      <w:pPr>
        <w:pStyle w:val="Compact"/>
        <w:numPr>
          <w:ilvl w:val="0"/>
          <w:numId w:val="1003"/>
        </w:numPr>
      </w:pPr>
      <w:r>
        <w:rPr>
          <w:b/>
          <w:bCs/>
        </w:rPr>
        <w:t xml:space="preserve">IEC 62058-11</w:t>
      </w:r>
      <w:r>
        <w:t xml:space="preserve">: </w:t>
      </w:r>
      <w:r>
        <w:rPr>
          <w:rFonts w:hint="eastAsia"/>
        </w:rPr>
        <w:t xml:space="preserve">定义电能测量设备的验收检查方法。</w:t>
      </w:r>
    </w:p>
    <w:p>
      <w:pPr>
        <w:pStyle w:val="Compact"/>
        <w:numPr>
          <w:ilvl w:val="0"/>
          <w:numId w:val="1003"/>
        </w:numPr>
      </w:pPr>
      <w:r>
        <w:rPr>
          <w:b/>
          <w:bCs/>
        </w:rPr>
        <w:t xml:space="preserve">IEC 60529</w:t>
      </w:r>
      <w:r>
        <w:t xml:space="preserve">: </w:t>
      </w:r>
      <w:r>
        <w:rPr>
          <w:rFonts w:hint="eastAsia"/>
        </w:rPr>
        <w:t xml:space="preserve">设备外壳的IP防护等级。</w:t>
      </w:r>
    </w:p>
    <w:p>
      <w:pPr>
        <w:pStyle w:val="FirstParagraph"/>
      </w:pPr>
      <w:r>
        <w:rPr>
          <w:rFonts w:hint="eastAsia"/>
        </w:rPr>
        <w:t xml:space="preserve">额外要求的认证：</w:t>
      </w:r>
      <w:r>
        <w:t xml:space="preserve"> </w:t>
      </w:r>
      <w:r>
        <w:t xml:space="preserve">* </w:t>
      </w:r>
      <w:r>
        <w:rPr>
          <w:rFonts w:hint="eastAsia"/>
        </w:rPr>
        <w:t xml:space="preserve">制造商ISO-9001认证</w:t>
      </w:r>
      <w:r>
        <w:t xml:space="preserve"> </w:t>
      </w:r>
      <w:r>
        <w:t xml:space="preserve">* </w:t>
      </w:r>
      <w:r>
        <w:rPr>
          <w:rFonts w:hint="eastAsia"/>
        </w:rPr>
        <w:t xml:space="preserve">INDOCAL测量系统认证</w:t>
      </w:r>
      <w:r>
        <w:t xml:space="preserve"> </w:t>
      </w:r>
      <w:r>
        <w:t xml:space="preserve">* </w:t>
      </w:r>
      <w:r>
        <w:rPr>
          <w:rFonts w:hint="eastAsia"/>
        </w:rPr>
        <w:t xml:space="preserve">INDOTEL通信设备</w:t>
      </w:r>
      <w:r>
        <w:t xml:space="preserve"> </w:t>
      </w:r>
      <w:r>
        <w:rPr>
          <w:rFonts w:hint="eastAsia"/>
        </w:rPr>
        <w:t xml:space="preserve">homologation认证</w:t>
      </w:r>
    </w:p>
    <w:p>
      <w:r>
        <w:pict>
          <v:rect style="width:0;height:1.5pt" o:hralign="center" o:hrstd="t" o:hr="t"/>
        </w:pict>
      </w:r>
    </w:p>
    <w:bookmarkEnd w:id="30"/>
    <w:bookmarkEnd w:id="31"/>
    <w:bookmarkStart w:id="32" w:name="质保"/>
    <w:p>
      <w:pPr>
        <w:pStyle w:val="Heading2"/>
      </w:pPr>
      <w:r>
        <w:t xml:space="preserve">9. </w:t>
      </w:r>
      <w:r>
        <w:rPr>
          <w:rFonts w:hint="eastAsia"/>
        </w:rPr>
        <w:t xml:space="preserve">质保</w:t>
      </w:r>
    </w:p>
    <w:p>
      <w:pPr>
        <w:pStyle w:val="FirstParagraph"/>
      </w:pPr>
      <w:r>
        <w:rPr>
          <w:rFonts w:hint="eastAsia"/>
        </w:rPr>
        <w:t xml:space="preserve">中标方应保证合同项下的所有产品是新的，没有制造、材料或功能缺陷，并符合本招标文件中规定的技术规范。供应组件的最低质保如下：</w:t>
      </w:r>
    </w:p>
    <w:p>
      <w:pPr>
        <w:pStyle w:val="BodyText"/>
      </w:pPr>
      <w:r>
        <w:rPr>
          <w:rFonts w:hint="eastAsia"/>
          <w:i/>
          <w:iCs/>
        </w:rPr>
        <w:t xml:space="preserve">(待详细说明)</w:t>
      </w:r>
    </w:p>
    <w:p>
      <w:r>
        <w:pict>
          <v:rect style="width:0;height:1.5pt" o:hralign="center" o:hrstd="t" o:hr="t"/>
        </w:pict>
      </w:r>
    </w:p>
    <w:bookmarkEnd w:id="32"/>
    <w:bookmarkStart w:id="34" w:name="结构和人员"/>
    <w:p>
      <w:pPr>
        <w:pStyle w:val="Heading2"/>
      </w:pPr>
      <w:r>
        <w:t xml:space="preserve">10. </w:t>
      </w:r>
      <w:r>
        <w:rPr>
          <w:rFonts w:hint="eastAsia"/>
        </w:rPr>
        <w:t xml:space="preserve">结构和人员</w:t>
      </w:r>
    </w:p>
    <w:bookmarkStart w:id="33" w:name="所需人员配置"/>
    <w:p>
      <w:pPr>
        <w:pStyle w:val="Heading3"/>
      </w:pPr>
      <w:r>
        <w:rPr>
          <w:rFonts w:hint="eastAsia"/>
        </w:rPr>
        <w:t xml:space="preserve">所需人员配置</w:t>
      </w:r>
    </w:p>
    <w:p>
      <w:pPr>
        <w:pStyle w:val="FirstParagraph"/>
      </w:pPr>
      <w:r>
        <w:rPr>
          <w:rFonts w:hint="eastAsia"/>
          <w:b/>
          <w:bCs/>
        </w:rPr>
        <w:t xml:space="preserve">项目经理：</w:t>
      </w:r>
      <w:r>
        <w:t xml:space="preserve"> </w:t>
      </w:r>
      <w:r>
        <w:t xml:space="preserve">* </w:t>
      </w:r>
      <w:r>
        <w:rPr>
          <w:rFonts w:hint="eastAsia"/>
        </w:rPr>
        <w:t xml:space="preserve">职能：项目总体协调和监督</w:t>
      </w:r>
      <w:r>
        <w:t xml:space="preserve"> </w:t>
      </w:r>
      <w:r>
        <w:t xml:space="preserve">* </w:t>
      </w:r>
      <w:r>
        <w:rPr>
          <w:rFonts w:hint="eastAsia"/>
        </w:rPr>
        <w:t xml:space="preserve">能力：PMP认证、IoT/智能城市经验</w:t>
      </w:r>
    </w:p>
    <w:p>
      <w:pPr>
        <w:pStyle w:val="BodyText"/>
      </w:pPr>
      <w:r>
        <w:rPr>
          <w:rFonts w:hint="eastAsia"/>
          <w:b/>
          <w:bCs/>
        </w:rPr>
        <w:t xml:space="preserve">照明系统专家：</w:t>
      </w:r>
      <w:r>
        <w:t xml:space="preserve"> </w:t>
      </w:r>
      <w:r>
        <w:t xml:space="preserve">* </w:t>
      </w:r>
      <w:r>
        <w:rPr>
          <w:rFonts w:hint="eastAsia"/>
        </w:rPr>
        <w:t xml:space="preserve">职能：照明系统技术指导</w:t>
      </w:r>
      <w:r>
        <w:t xml:space="preserve"> </w:t>
      </w:r>
      <w:r>
        <w:t xml:space="preserve">* </w:t>
      </w:r>
      <w:r>
        <w:rPr>
          <w:rFonts w:hint="eastAsia"/>
        </w:rPr>
        <w:t xml:space="preserve">能力：公共照明知识、NEMA标准</w:t>
      </w:r>
    </w:p>
    <w:p>
      <w:pPr>
        <w:pStyle w:val="BodyText"/>
      </w:pPr>
      <w:r>
        <w:rPr>
          <w:rFonts w:hint="eastAsia"/>
          <w:b/>
          <w:bCs/>
        </w:rPr>
        <w:t xml:space="preserve">IoT/电信工程师：</w:t>
      </w:r>
      <w:r>
        <w:t xml:space="preserve"> </w:t>
      </w:r>
      <w:r>
        <w:t xml:space="preserve">* </w:t>
      </w:r>
      <w:r>
        <w:rPr>
          <w:rFonts w:hint="eastAsia"/>
        </w:rPr>
        <w:t xml:space="preserve">职能：网络设计和配置</w:t>
      </w:r>
      <w:r>
        <w:t xml:space="preserve"> </w:t>
      </w:r>
      <w:r>
        <w:t xml:space="preserve">* </w:t>
      </w:r>
      <w:r>
        <w:rPr>
          <w:rFonts w:hint="eastAsia"/>
        </w:rPr>
        <w:t xml:space="preserve">能力：LoRaWAN、Zigbee、数据库、API、REST、MQTT</w:t>
      </w:r>
    </w:p>
    <w:p>
      <w:pPr>
        <w:pStyle w:val="BodyText"/>
      </w:pPr>
      <w:r>
        <w:rPr>
          <w:rFonts w:hint="eastAsia"/>
          <w:b/>
          <w:bCs/>
        </w:rPr>
        <w:t xml:space="preserve">网络安全专家：</w:t>
      </w:r>
      <w:r>
        <w:t xml:space="preserve"> </w:t>
      </w:r>
      <w:r>
        <w:t xml:space="preserve">* </w:t>
      </w:r>
      <w:r>
        <w:rPr>
          <w:rFonts w:hint="eastAsia"/>
        </w:rPr>
        <w:t xml:space="preserve">职能：定义和实施网络安全措施</w:t>
      </w:r>
      <w:r>
        <w:t xml:space="preserve"> </w:t>
      </w:r>
      <w:r>
        <w:t xml:space="preserve">* </w:t>
      </w:r>
      <w:r>
        <w:rPr>
          <w:rFonts w:hint="eastAsia"/>
        </w:rPr>
        <w:t xml:space="preserve">能力：IoT网络安全知识</w:t>
      </w:r>
    </w:p>
    <w:p>
      <w:r>
        <w:pict>
          <v:rect style="width:0;height:1.5pt" o:hralign="center" o:hrstd="t" o:hr="t"/>
        </w:pict>
      </w:r>
    </w:p>
    <w:bookmarkEnd w:id="33"/>
    <w:bookmarkEnd w:id="34"/>
    <w:bookmarkStart w:id="35" w:name="班组"/>
    <w:p>
      <w:pPr>
        <w:pStyle w:val="Heading2"/>
      </w:pPr>
      <w:r>
        <w:t xml:space="preserve">11. </w:t>
      </w:r>
      <w:r>
        <w:rPr>
          <w:rFonts w:hint="eastAsia"/>
        </w:rPr>
        <w:t xml:space="preserve">班组</w:t>
      </w:r>
    </w:p>
    <w:p>
      <w:pPr>
        <w:pStyle w:val="FirstParagraph"/>
      </w:pPr>
      <w:r>
        <w:rPr>
          <w:rFonts w:hint="eastAsia"/>
        </w:rPr>
        <w:t xml:space="preserve">基本基础设施建议，最少配置如下(不限制)：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电力公司</w:t>
            </w:r>
          </w:p>
        </w:tc>
        <w:tc>
          <w:tcPr/>
          <w:p>
            <w:pPr>
              <w:pStyle w:val="Compact"/>
            </w:pPr>
            <w:r>
              <w:rPr>
                <w:rFonts w:hint="eastAsia"/>
              </w:rPr>
              <w:t xml:space="preserve">班组数量</w:t>
            </w:r>
          </w:p>
        </w:tc>
      </w:tr>
      <w:tr>
        <w:tc>
          <w:tcPr/>
          <w:p>
            <w:pPr>
              <w:pStyle w:val="Compact"/>
            </w:pPr>
            <w:r>
              <w:t xml:space="preserve">EDESUR</w:t>
            </w:r>
          </w:p>
        </w:tc>
        <w:tc>
          <w:tcPr/>
          <w:p>
            <w:pPr>
              <w:pStyle w:val="Compact"/>
            </w:pPr>
            <w:r>
              <w:t xml:space="preserve">4</w:t>
            </w:r>
          </w:p>
        </w:tc>
      </w:tr>
      <w:tr>
        <w:tc>
          <w:tcPr/>
          <w:p>
            <w:pPr>
              <w:pStyle w:val="Compact"/>
            </w:pPr>
            <w:r>
              <w:t xml:space="preserve">EDENORTE</w:t>
            </w:r>
          </w:p>
        </w:tc>
        <w:tc>
          <w:tcPr/>
          <w:p>
            <w:pPr>
              <w:pStyle w:val="Compact"/>
            </w:pPr>
            <w:r>
              <w:t xml:space="preserve">5</w:t>
            </w:r>
          </w:p>
        </w:tc>
      </w:tr>
      <w:tr>
        <w:tc>
          <w:tcPr/>
          <w:p>
            <w:pPr>
              <w:pStyle w:val="Compact"/>
            </w:pPr>
            <w:r>
              <w:t xml:space="preserve">EDEESTE</w:t>
            </w:r>
          </w:p>
        </w:tc>
        <w:tc>
          <w:tcPr/>
          <w:p>
            <w:pPr>
              <w:pStyle w:val="Compact"/>
            </w:pPr>
            <w:r>
              <w:t xml:space="preserve">5</w:t>
            </w:r>
          </w:p>
        </w:tc>
      </w:tr>
    </w:tbl>
    <w:p>
      <w:r>
        <w:pict>
          <v:rect style="width:0;height:1.5pt" o:hralign="center" o:hrstd="t" o:hr="t"/>
        </w:pict>
      </w:r>
    </w:p>
    <w:bookmarkEnd w:id="35"/>
    <w:bookmarkStart w:id="39" w:name="工作要求"/>
    <w:p>
      <w:pPr>
        <w:pStyle w:val="Heading2"/>
      </w:pPr>
      <w:r>
        <w:t xml:space="preserve">12. </w:t>
      </w:r>
      <w:r>
        <w:rPr>
          <w:rFonts w:hint="eastAsia"/>
        </w:rPr>
        <w:t xml:space="preserve">工作要求</w:t>
      </w:r>
    </w:p>
    <w:bookmarkStart w:id="36" w:name="a.-初始阶段规划"/>
    <w:p>
      <w:pPr>
        <w:pStyle w:val="Heading3"/>
      </w:pPr>
      <w:r>
        <w:t xml:space="preserve">a. </w:t>
      </w:r>
      <w:r>
        <w:rPr>
          <w:rFonts w:hint="eastAsia"/>
        </w:rPr>
        <w:t xml:space="preserve">初始阶段(规划)</w:t>
      </w:r>
    </w:p>
    <w:p>
      <w:pPr>
        <w:pStyle w:val="Compact"/>
        <w:numPr>
          <w:ilvl w:val="0"/>
          <w:numId w:val="1004"/>
        </w:numPr>
      </w:pPr>
      <w:r>
        <w:rPr>
          <w:rFonts w:hint="eastAsia"/>
        </w:rPr>
        <w:t xml:space="preserve">项目启动会议</w:t>
      </w:r>
    </w:p>
    <w:p>
      <w:pPr>
        <w:pStyle w:val="Compact"/>
        <w:numPr>
          <w:ilvl w:val="0"/>
          <w:numId w:val="1004"/>
        </w:numPr>
      </w:pPr>
      <w:r>
        <w:rPr>
          <w:rFonts w:hint="eastAsia"/>
        </w:rPr>
        <w:t xml:space="preserve">展示工作计划、时间和解决方案架构</w:t>
      </w:r>
    </w:p>
    <w:p>
      <w:pPr>
        <w:pStyle w:val="Compact"/>
        <w:numPr>
          <w:ilvl w:val="0"/>
          <w:numId w:val="1004"/>
        </w:numPr>
      </w:pPr>
      <w:r>
        <w:rPr>
          <w:rFonts w:hint="eastAsia"/>
        </w:rPr>
        <w:t xml:space="preserve">覆盖范围研究和LoRaWAN网络设计</w:t>
      </w:r>
    </w:p>
    <w:p>
      <w:pPr>
        <w:pStyle w:val="Compact"/>
        <w:numPr>
          <w:ilvl w:val="0"/>
          <w:numId w:val="1004"/>
        </w:numPr>
      </w:pPr>
      <w:r>
        <w:rPr>
          <w:rFonts w:hint="eastAsia"/>
        </w:rPr>
        <w:t xml:space="preserve">定义存储和管理平台架构</w:t>
      </w:r>
    </w:p>
    <w:p>
      <w:pPr>
        <w:pStyle w:val="Compact"/>
        <w:numPr>
          <w:ilvl w:val="0"/>
          <w:numId w:val="1004"/>
        </w:numPr>
      </w:pPr>
      <w:r>
        <w:rPr>
          <w:rFonts w:hint="eastAsia"/>
        </w:rPr>
        <w:t xml:space="preserve">网络安全和运营连续性计划</w:t>
      </w:r>
    </w:p>
    <w:bookmarkEnd w:id="36"/>
    <w:bookmarkStart w:id="37" w:name="b.-实施阶段"/>
    <w:p>
      <w:pPr>
        <w:pStyle w:val="Heading3"/>
      </w:pPr>
      <w:r>
        <w:t xml:space="preserve">b. </w:t>
      </w:r>
      <w:r>
        <w:rPr>
          <w:rFonts w:hint="eastAsia"/>
        </w:rPr>
        <w:t xml:space="preserve">实施阶段</w:t>
      </w:r>
    </w:p>
    <w:p>
      <w:pPr>
        <w:pStyle w:val="Compact"/>
        <w:numPr>
          <w:ilvl w:val="0"/>
          <w:numId w:val="1005"/>
        </w:numPr>
      </w:pPr>
      <w:r>
        <w:rPr>
          <w:rFonts w:hint="eastAsia"/>
        </w:rPr>
        <w:t xml:space="preserve">在LED路灯供应和安装远程管理节点</w:t>
      </w:r>
    </w:p>
    <w:p>
      <w:pPr>
        <w:pStyle w:val="Compact"/>
        <w:numPr>
          <w:ilvl w:val="0"/>
          <w:numId w:val="1005"/>
        </w:numPr>
      </w:pPr>
      <w:r>
        <w:rPr>
          <w:rFonts w:hint="eastAsia"/>
        </w:rPr>
        <w:t xml:space="preserve">招标流程MEM-BID-LPI-2026-001的第1、2、3标段中标方必须与本流程中标方紧密合作，确保路灯和节点安装的有效双向执行。</w:t>
      </w:r>
    </w:p>
    <w:bookmarkEnd w:id="37"/>
    <w:bookmarkStart w:id="38" w:name="c.-测试和关闭阶段"/>
    <w:p>
      <w:pPr>
        <w:pStyle w:val="Heading3"/>
      </w:pPr>
      <w:r>
        <w:t xml:space="preserve">c. </w:t>
      </w:r>
      <w:r>
        <w:rPr>
          <w:rFonts w:hint="eastAsia"/>
        </w:rPr>
        <w:t xml:space="preserve">测试和关闭阶段</w:t>
      </w:r>
    </w:p>
    <w:p>
      <w:pPr>
        <w:pStyle w:val="FirstParagraph"/>
      </w:pPr>
      <w:r>
        <w:rPr>
          <w:rFonts w:hint="eastAsia"/>
          <w:i/>
          <w:iCs/>
        </w:rPr>
        <w:t xml:space="preserve">(待详细说明)</w:t>
      </w:r>
    </w:p>
    <w:p>
      <w:r>
        <w:pict>
          <v:rect style="width:0;height:1.5pt" o:hralign="center" o:hrstd="t" o:hr="t"/>
        </w:pict>
      </w:r>
    </w:p>
    <w:bookmarkEnd w:id="38"/>
    <w:bookmarkEnd w:id="39"/>
    <w:bookmarkStart w:id="40" w:name="法规环境安全要求"/>
    <w:p>
      <w:pPr>
        <w:pStyle w:val="Heading2"/>
      </w:pPr>
      <w:r>
        <w:t xml:space="preserve">13. </w:t>
      </w:r>
      <w:r>
        <w:rPr>
          <w:rFonts w:hint="eastAsia"/>
        </w:rPr>
        <w:t xml:space="preserve">法规/环境/安全要求</w:t>
      </w:r>
    </w:p>
    <w:p>
      <w:pPr>
        <w:pStyle w:val="FirstParagraph"/>
      </w:pPr>
      <w:r>
        <w:rPr>
          <w:rFonts w:hint="eastAsia"/>
          <w:i/>
          <w:iCs/>
        </w:rPr>
        <w:t xml:space="preserve">(待详细说明)</w:t>
      </w:r>
    </w:p>
    <w:p>
      <w:r>
        <w:pict>
          <v:rect style="width:0;height:1.5pt" o:hralign="center" o:hrstd="t" o:hr="t"/>
        </w:pict>
      </w:r>
    </w:p>
    <w:bookmarkEnd w:id="40"/>
    <w:bookmarkStart w:id="41" w:name="时间和里程碑"/>
    <w:p>
      <w:pPr>
        <w:pStyle w:val="Heading2"/>
      </w:pPr>
      <w:r>
        <w:t xml:space="preserve">14. </w:t>
      </w:r>
      <w:r>
        <w:rPr>
          <w:rFonts w:hint="eastAsia"/>
        </w:rPr>
        <w:t xml:space="preserve">时间和里程碑</w:t>
      </w:r>
    </w:p>
    <w:p>
      <w:pPr>
        <w:pStyle w:val="FirstParagraph"/>
      </w:pPr>
      <w:r>
        <w:rPr>
          <w:rFonts w:hint="eastAsia"/>
          <w:i/>
          <w:iCs/>
        </w:rPr>
        <w:t xml:space="preserve">(待详细说明)</w:t>
      </w:r>
    </w:p>
    <w:p>
      <w:r>
        <w:pict>
          <v:rect style="width:0;height:1.5pt" o:hralign="center" o:hrstd="t" o:hr="t"/>
        </w:pict>
      </w:r>
    </w:p>
    <w:bookmarkEnd w:id="41"/>
    <w:bookmarkStart w:id="42" w:name="其他要求"/>
    <w:p>
      <w:pPr>
        <w:pStyle w:val="Heading2"/>
      </w:pPr>
      <w:r>
        <w:t xml:space="preserve">15. </w:t>
      </w:r>
      <w:r>
        <w:rPr>
          <w:rFonts w:hint="eastAsia"/>
        </w:rPr>
        <w:t xml:space="preserve">其他要求</w:t>
      </w:r>
    </w:p>
    <w:p>
      <w:pPr>
        <w:pStyle w:val="FirstParagraph"/>
      </w:pPr>
      <w:r>
        <w:rPr>
          <w:rFonts w:hint="eastAsia"/>
          <w:i/>
          <w:iCs/>
        </w:rPr>
        <w:t xml:space="preserve">(待详细说明)</w:t>
      </w:r>
    </w:p>
    <w:p>
      <w:r>
        <w:pict>
          <v:rect style="width:0;height:1.5pt" o:hralign="center" o:hrstd="t" o:hr="t"/>
        </w:pict>
      </w:r>
    </w:p>
    <w:bookmarkEnd w:id="42"/>
    <w:bookmarkStart w:id="43" w:name="罚款"/>
    <w:p>
      <w:pPr>
        <w:pStyle w:val="Heading2"/>
      </w:pPr>
      <w:r>
        <w:t xml:space="preserve">16. </w:t>
      </w:r>
      <w:r>
        <w:rPr>
          <w:rFonts w:hint="eastAsia"/>
        </w:rPr>
        <w:t xml:space="preserve">罚款</w:t>
      </w:r>
    </w:p>
    <w:p>
      <w:pPr>
        <w:pStyle w:val="FirstParagraph"/>
      </w:pPr>
      <w:r>
        <w:rPr>
          <w:rFonts w:hint="eastAsia"/>
          <w:i/>
          <w:iCs/>
        </w:rPr>
        <w:t xml:space="preserve">(待详细说明)</w:t>
      </w:r>
    </w:p>
    <w:p>
      <w:r>
        <w:pict>
          <v:rect style="width:0;height:1.5pt" o:hralign="center" o:hrstd="t" o:hr="t"/>
        </w:pict>
      </w:r>
    </w:p>
    <w:p>
      <w:pPr>
        <w:pStyle w:val="FirstParagraph"/>
      </w:pPr>
      <w:r>
        <w:rPr>
          <w:rFonts w:hint="eastAsia"/>
          <w:b/>
          <w:bCs/>
        </w:rPr>
        <w:t xml:space="preserve">文档结束</w:t>
      </w:r>
    </w:p>
    <w:p>
      <w:pPr>
        <w:pStyle w:val="BodyText"/>
      </w:pPr>
      <w:r>
        <w:rPr>
          <w:rFonts w:hint="eastAsia"/>
          <w:i/>
          <w:iCs/>
        </w:rPr>
        <w:t xml:space="preserve">本翻译基于BID公共照明远程管理系统工作声明原文</w:t>
      </w:r>
    </w:p>
    <w:bookmarkEnd w:id="43"/>
    <w:bookmarkEnd w:id="4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2026-06-19T17:50:14Z</dcterms:created>
  <dcterms:modified xsi:type="dcterms:W3CDTF">2026-06-19T17:50:14Z</dcterms:modified>
</cp:coreProperties>
</file>

<file path=docProps/custom.xml><?xml version="1.0" encoding="utf-8"?>
<Properties xmlns="http://schemas.openxmlformats.org/officeDocument/2006/custom-properties" xmlns:vt="http://schemas.openxmlformats.org/officeDocument/2006/docPropsVTypes"/>
</file>