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多米尼加共和国公共照明节能改造项目"/>
    <w:p>
      <w:pPr>
        <w:pStyle w:val="Heading1"/>
      </w:pPr>
      <w:r>
        <w:rPr>
          <w:rFonts w:hint="eastAsia"/>
        </w:rPr>
        <w:t xml:space="preserve">多米尼加共和国公共照明节能改造项目</w:t>
      </w:r>
    </w:p>
    <w:bookmarkEnd w:id="9"/>
    <w:bookmarkStart w:id="10" w:name="特许贷款-bid-4962oc-dr"/>
    <w:p>
      <w:pPr>
        <w:pStyle w:val="Heading1"/>
      </w:pPr>
      <w:r>
        <w:rPr>
          <w:rFonts w:hint="eastAsia"/>
        </w:rPr>
        <w:t xml:space="preserve">特许贷款</w:t>
      </w:r>
      <w:r>
        <w:t xml:space="preserve"> BID 4962/OC-DR</w:t>
      </w:r>
    </w:p>
    <w:bookmarkEnd w:id="10"/>
    <w:bookmarkStart w:id="11" w:name="国际公开招标-lpi-mem-bid-2026-001"/>
    <w:p>
      <w:pPr>
        <w:pStyle w:val="Heading1"/>
      </w:pPr>
      <w:r>
        <w:rPr>
          <w:rFonts w:hint="eastAsia"/>
        </w:rPr>
        <w:t xml:space="preserve">国际公开招标</w:t>
      </w:r>
      <w:r>
        <w:t xml:space="preserve"> LPI-MEM-BID-2026-001</w:t>
      </w:r>
    </w:p>
    <w:bookmarkEnd w:id="11"/>
    <w:bookmarkStart w:id="12" w:name="X0a742e2871ce6364e9a6761c66f3af05b430796"/>
    <w:p>
      <w:pPr>
        <w:pStyle w:val="Heading1"/>
      </w:pPr>
      <w:r>
        <w:rPr>
          <w:rFonts w:hint="eastAsia"/>
        </w:rPr>
        <w:t xml:space="preserve">多米尼加电力公司（Edesur、Edenorte</w:t>
      </w:r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w:r>
        <w:rPr>
          <w:rFonts w:hint="eastAsia"/>
        </w:rPr>
        <w:t xml:space="preserve">Edeeste）公共照明系统节能灯具更换及基础设施改造项目</w:t>
      </w:r>
    </w:p>
    <w:bookmarkEnd w:id="12"/>
    <w:bookmarkStart w:id="13" w:name="澄清文件第1号"/>
    <w:p>
      <w:pPr>
        <w:pStyle w:val="Heading1"/>
      </w:pPr>
      <w:r>
        <w:rPr>
          <w:rFonts w:hint="eastAsia"/>
        </w:rPr>
        <w:t xml:space="preserve">澄清文件第1号</w:t>
      </w:r>
    </w:p>
    <w:bookmarkEnd w:id="13"/>
    <w:bookmarkStart w:id="44" w:name="发布日期待定"/>
    <w:p>
      <w:pPr>
        <w:pStyle w:val="Heading1"/>
      </w:pPr>
      <w:r>
        <w:rPr>
          <w:rFonts w:hint="eastAsia"/>
        </w:rPr>
        <w:t xml:space="preserve">发布日期：待定</w:t>
      </w:r>
    </w:p>
    <w:p>
      <w:pPr>
        <w:pStyle w:val="FirstParagraph"/>
      </w:pPr>
      <w:r>
        <w:rPr>
          <w:rFonts w:hint="eastAsia"/>
        </w:rPr>
        <w:t xml:space="preserve">根据招标文件规定期限内收到的咨询，按照适用条款，采购委员会发布如下澄清说明：</w:t>
      </w:r>
    </w:p>
    <w:p>
      <w:r>
        <w:pict>
          <v:rect style="width:0;height:1.5pt" o:hralign="center" o:hrstd="t" o:hr="t"/>
        </w:pict>
      </w:r>
    </w:p>
    <w:bookmarkStart w:id="42" w:name="咨询与答复"/>
    <w:p>
      <w:pPr>
        <w:pStyle w:val="Heading2"/>
      </w:pPr>
      <w:r>
        <w:rPr>
          <w:rFonts w:hint="eastAsia"/>
        </w:rPr>
        <w:t xml:space="preserve">咨询与答复</w:t>
      </w:r>
    </w:p>
    <w:bookmarkStart w:id="14" w:name="咨询第1号---关于评估标准与资质中经验要求的澄清"/>
    <w:p>
      <w:pPr>
        <w:pStyle w:val="Heading3"/>
      </w:pPr>
      <w:r>
        <w:rPr>
          <w:rFonts w:hint="eastAsia"/>
        </w:rPr>
        <w:t xml:space="preserve">咨询第1号</w:t>
      </w:r>
      <w:r>
        <w:t xml:space="preserve"> - </w:t>
      </w:r>
      <w:r>
        <w:rPr>
          <w:rFonts w:hint="eastAsia"/>
        </w:rPr>
        <w:t xml:space="preserve">关于评估标准与资质中经验要求的澄清</w:t>
      </w:r>
    </w:p>
    <w:p>
      <w:pPr>
        <w:pStyle w:val="FirstParagraph"/>
      </w:pPr>
      <w:r>
        <w:rPr>
          <w:rFonts w:hint="eastAsia"/>
          <w:b/>
          <w:bCs/>
        </w:rPr>
        <w:t xml:space="preserve">文件原文：</w:t>
      </w:r>
      <w:r>
        <w:t xml:space="preserve"> </w:t>
      </w:r>
      <w:r>
        <w:rPr>
          <w:rFonts w:hint="eastAsia"/>
        </w:rPr>
        <w:t xml:space="preserve">“在2009年至2024年期间，在运行的城市/网络中具有类似参考项目经验（包括供应和安装节点），投标人作为主要承包商。”</w:t>
      </w:r>
    </w:p>
    <w:p>
      <w:pPr>
        <w:pStyle w:val="BodyText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本次招标是否包括远程管理系统和灯具，还是仅包括灯具？如果仅灯具，此处要求的节点经验是否适用于灯具？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本文中”节点”一词今后将理解为”灯具”。本次招标仅包括灯具的供应和安装。</w:t>
      </w:r>
    </w:p>
    <w:p>
      <w:r>
        <w:pict>
          <v:rect style="width:0;height:1.5pt" o:hralign="center" o:hrstd="t" o:hr="t"/>
        </w:pict>
      </w:r>
    </w:p>
    <w:bookmarkEnd w:id="14"/>
    <w:bookmarkStart w:id="15" w:name="咨询第2号---关于样品的技术澄清"/>
    <w:p>
      <w:pPr>
        <w:pStyle w:val="Heading3"/>
      </w:pPr>
      <w:r>
        <w:rPr>
          <w:rFonts w:hint="eastAsia"/>
        </w:rPr>
        <w:t xml:space="preserve">咨询第2号</w:t>
      </w:r>
      <w:r>
        <w:t xml:space="preserve"> - </w:t>
      </w:r>
      <w:r>
        <w:rPr>
          <w:rFonts w:hint="eastAsia"/>
        </w:rPr>
        <w:t xml:space="preserve">关于样品的技术澄清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在评估投标人提交的文件后，是否需要提供样品？提供样品的时间？应提交给谁？提交地点、日期和时间？每个批次是否需要不同颜色的涂层，还是所有样品使用同一颜色？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样品将在部分中标后、最终中标前要求提供；对于每个批次，业主将明确所需样品的规格，同时给予充足的交付期限。在最终中标后21个日历日内交付每种功率的样品。</w:t>
      </w:r>
    </w:p>
    <w:p>
      <w:r>
        <w:pict>
          <v:rect style="width:0;height:1.5pt" o:hralign="center" o:hrstd="t" o:hr="t"/>
        </w:pict>
      </w:r>
    </w:p>
    <w:bookmarkEnd w:id="15"/>
    <w:bookmarkStart w:id="16" w:name="咨询第3号---关于光通量的技术澄清"/>
    <w:p>
      <w:pPr>
        <w:pStyle w:val="Heading3"/>
      </w:pPr>
      <w:r>
        <w:rPr>
          <w:rFonts w:hint="eastAsia"/>
        </w:rPr>
        <w:t xml:space="preserve">咨询第3号</w:t>
      </w:r>
      <w:r>
        <w:t xml:space="preserve"> - </w:t>
      </w:r>
      <w:r>
        <w:rPr>
          <w:rFonts w:hint="eastAsia"/>
        </w:rPr>
        <w:t xml:space="preserve">关于光通量的技术澄清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文件原文：</w:t>
      </w:r>
      <w:r>
        <w:t xml:space="preserve"> </w:t>
      </w:r>
      <w:r>
        <w:rPr>
          <w:rFonts w:hint="eastAsia"/>
        </w:rPr>
        <w:t xml:space="preserve">“输出光通量</w:t>
      </w:r>
      <w:r>
        <w:t xml:space="preserve"> ≥ 11700”</w:t>
      </w:r>
    </w:p>
    <w:p>
      <w:pPr>
        <w:pStyle w:val="BodyText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恳请委员会评估修订此条款，根据PDGT第3.8条建立与功率相应的光输出值，具体为”光效最小实测值</w:t>
      </w:r>
      <w:r>
        <w:t xml:space="preserve"> ≥ 150 </w:t>
      </w:r>
      <w:r>
        <w:rPr>
          <w:rFonts w:hint="eastAsia"/>
        </w:rPr>
        <w:t xml:space="preserve">lm/W（色温3000K</w:t>
      </w:r>
      <w:r>
        <w:t xml:space="preserve"> </w:t>
      </w:r>
      <w:r>
        <w:rPr>
          <w:rFonts w:hint="eastAsia"/>
        </w:rPr>
        <w:t xml:space="preserve">±200K），由UL或同等国际认证机构认证，可验证该效率或更高。LM-79用于证明测试结果。”</w:t>
      </w:r>
    </w:p>
    <w:p>
      <w:pPr>
        <w:pStyle w:val="BodyText"/>
      </w:pPr>
      <w:r>
        <w:rPr>
          <w:rFonts w:hint="eastAsia"/>
          <w:b/>
          <w:bCs/>
        </w:rPr>
        <w:t xml:space="preserve">理由：</w:t>
      </w:r>
      <w:r>
        <w:t xml:space="preserve"> </w:t>
      </w:r>
      <w:r>
        <w:rPr>
          <w:rFonts w:hint="eastAsia"/>
        </w:rPr>
        <w:t xml:space="preserve">此调整将使更多参与者在低于80W的功率下根据150</w:t>
      </w:r>
      <w:r>
        <w:t xml:space="preserve"> </w:t>
      </w:r>
      <w:r>
        <w:rPr>
          <w:rFonts w:hint="eastAsia"/>
        </w:rPr>
        <w:t xml:space="preserve">lm/W的效率提出产品解决方案。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删除光通量≥11700lm的要求。唯一要求为满足光效≥150</w:t>
      </w:r>
      <w:r>
        <w:t xml:space="preserve"> </w:t>
      </w:r>
      <w:r>
        <w:rPr>
          <w:rFonts w:hint="eastAsia"/>
        </w:rPr>
        <w:t xml:space="preserve">lm/W的实测最低值。附件表格中的建议值将在PDGT中予以考虑。</w:t>
      </w:r>
    </w:p>
    <w:p>
      <w:r>
        <w:pict>
          <v:rect style="width:0;height:1.5pt" o:hralign="center" o:hrstd="t" o:hr="t"/>
        </w:pict>
      </w:r>
    </w:p>
    <w:bookmarkEnd w:id="16"/>
    <w:bookmarkStart w:id="17" w:name="咨询第4号---关于标签ral颜色的技术澄清"/>
    <w:p>
      <w:pPr>
        <w:pStyle w:val="Heading3"/>
      </w:pPr>
      <w:r>
        <w:rPr>
          <w:rFonts w:hint="eastAsia"/>
        </w:rPr>
        <w:t xml:space="preserve">咨询第4号</w:t>
      </w:r>
      <w:r>
        <w:t xml:space="preserve"> - </w:t>
      </w:r>
      <w:r>
        <w:rPr>
          <w:rFonts w:hint="eastAsia"/>
        </w:rPr>
        <w:t xml:space="preserve">关于标签RAL颜色的技术澄清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关于RAL颜色要求，根据第8.7条要求”光学黄色”，应使用哪个RAL？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根据PDGT，第8.7条”光学黄色”对应的RAL为RAL</w:t>
      </w:r>
      <w:r>
        <w:t xml:space="preserve"> 1026。</w:t>
      </w:r>
    </w:p>
    <w:p>
      <w:r>
        <w:pict>
          <v:rect style="width:0;height:1.5pt" o:hralign="center" o:hrstd="t" o:hr="t"/>
        </w:pict>
      </w:r>
    </w:p>
    <w:bookmarkEnd w:id="17"/>
    <w:bookmarkStart w:id="18" w:name="咨询第5号---关于盐雾保护的技术澄清"/>
    <w:p>
      <w:pPr>
        <w:pStyle w:val="Heading3"/>
      </w:pPr>
      <w:r>
        <w:rPr>
          <w:rFonts w:hint="eastAsia"/>
        </w:rPr>
        <w:t xml:space="preserve">咨询第5号</w:t>
      </w:r>
      <w:r>
        <w:t xml:space="preserve"> - </w:t>
      </w:r>
      <w:r>
        <w:rPr>
          <w:rFonts w:hint="eastAsia"/>
        </w:rPr>
        <w:t xml:space="preserve">关于盐雾保护的技术澄清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文件原文：</w:t>
      </w:r>
      <w:r>
        <w:t xml:space="preserve"> </w:t>
      </w:r>
      <w:r>
        <w:rPr>
          <w:rFonts w:hint="eastAsia"/>
        </w:rPr>
        <w:t xml:space="preserve">“防盐雾保护</w:t>
      </w:r>
      <w:r>
        <w:t xml:space="preserve"> - </w:t>
      </w:r>
      <w:r>
        <w:rPr>
          <w:rFonts w:hint="eastAsia"/>
        </w:rPr>
        <w:t xml:space="preserve">需要，C4级防腐蚀能力，C4是ISO</w:t>
      </w:r>
      <w:r>
        <w:t xml:space="preserve"> </w:t>
      </w:r>
      <w:r>
        <w:rPr>
          <w:rFonts w:hint="eastAsia"/>
        </w:rPr>
        <w:t xml:space="preserve">12944-2中定义的腐蚀类别第4类的缩写。”</w:t>
      </w:r>
    </w:p>
    <w:p>
      <w:pPr>
        <w:pStyle w:val="BodyText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恳请委员会评估修订此条款：删除ISO</w:t>
      </w:r>
      <w:r>
        <w:t xml:space="preserve"> </w:t>
      </w:r>
      <w:r>
        <w:rPr>
          <w:rFonts w:hint="eastAsia"/>
        </w:rPr>
        <w:t xml:space="preserve">12944-2中定义的C4腐蚀环境的引用，根据ISO</w:t>
      </w:r>
      <w:r>
        <w:t xml:space="preserve"> 9227/ASTM </w:t>
      </w:r>
      <w:r>
        <w:rPr>
          <w:rFonts w:hint="eastAsia"/>
        </w:rPr>
        <w:t xml:space="preserve">B117”人造气氛中的腐蚀试验-盐雾试验”，要求1000小时中性盐雾保护（适用于铝件）。根据ISO</w:t>
      </w:r>
      <w:r>
        <w:t xml:space="preserve"> 4628-1:2016/ASTM </w:t>
      </w:r>
      <w:r>
        <w:rPr>
          <w:rFonts w:hint="eastAsia"/>
        </w:rPr>
        <w:t xml:space="preserve">D1654和ISO</w:t>
      </w:r>
      <w:r>
        <w:t xml:space="preserve"> 4628-2:2016/ASTM D </w:t>
      </w:r>
      <w:r>
        <w:rPr>
          <w:rFonts w:hint="eastAsia"/>
        </w:rPr>
        <w:t xml:space="preserve">714评估结果，评定等级为0。</w:t>
      </w:r>
    </w:p>
    <w:p>
      <w:pPr>
        <w:pStyle w:val="BodyText"/>
      </w:pPr>
      <w:r>
        <w:rPr>
          <w:rFonts w:hint="eastAsia"/>
          <w:b/>
          <w:bCs/>
        </w:rPr>
        <w:t xml:space="preserve">理由：</w:t>
      </w:r>
      <w:r>
        <w:t xml:space="preserve"> </w:t>
      </w:r>
      <w:r>
        <w:t xml:space="preserve">ISO </w:t>
      </w:r>
      <w:r>
        <w:rPr>
          <w:rFonts w:hint="eastAsia"/>
        </w:rPr>
        <w:t xml:space="preserve">12944-2中的C4级保护适用于钢结构漆，而根据第1.5条要求的灯具</w:t>
      </w:r>
      <w:r>
        <w:t xml:space="preserve"> construction </w:t>
      </w:r>
      <w:r>
        <w:rPr>
          <w:rFonts w:hint="eastAsia"/>
        </w:rPr>
        <w:t xml:space="preserve">material（铝），这不适用于灯具的construction</w:t>
      </w:r>
      <w:r>
        <w:t xml:space="preserve"> material。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需注意ISO</w:t>
      </w:r>
      <w:r>
        <w:t xml:space="preserve"> </w:t>
      </w:r>
      <w:r>
        <w:rPr>
          <w:rFonts w:hint="eastAsia"/>
        </w:rPr>
        <w:t xml:space="preserve">12944-2的测试方法包括ISO</w:t>
      </w:r>
      <w:r>
        <w:t xml:space="preserve"> </w:t>
      </w:r>
      <w:r>
        <w:rPr>
          <w:rFonts w:hint="eastAsia"/>
        </w:rPr>
        <w:t xml:space="preserve">9227和ISO</w:t>
      </w:r>
      <w:r>
        <w:t xml:space="preserve"> </w:t>
      </w:r>
      <w:r>
        <w:rPr>
          <w:rFonts w:hint="eastAsia"/>
        </w:rPr>
        <w:t xml:space="preserve">6270-1（凝水），其测试方法在ISO</w:t>
      </w:r>
      <w:r>
        <w:t xml:space="preserve"> </w:t>
      </w:r>
      <w:r>
        <w:rPr>
          <w:rFonts w:hint="eastAsia"/>
        </w:rPr>
        <w:t xml:space="preserve">12944-6中描述。这些标准适用于所有金属，包括铝。耐久性等级不低于C4中等。</w:t>
      </w:r>
    </w:p>
    <w:p>
      <w:r>
        <w:pict>
          <v:rect style="width:0;height:1.5pt" o:hralign="center" o:hrstd="t" o:hr="t"/>
        </w:pict>
      </w:r>
    </w:p>
    <w:bookmarkEnd w:id="18"/>
    <w:bookmarkStart w:id="19" w:name="咨询第6号---关于darksky认证与溢散光的技术澄清"/>
    <w:p>
      <w:pPr>
        <w:pStyle w:val="Heading3"/>
      </w:pPr>
      <w:r>
        <w:rPr>
          <w:rFonts w:hint="eastAsia"/>
        </w:rPr>
        <w:t xml:space="preserve">咨询第6号</w:t>
      </w:r>
      <w:r>
        <w:t xml:space="preserve"> - </w:t>
      </w:r>
      <w:r>
        <w:rPr>
          <w:rFonts w:hint="eastAsia"/>
        </w:rPr>
        <w:t xml:space="preserve">关于DarkSky认证与溢散光的技术澄清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文件原文：</w:t>
      </w:r>
      <w:r>
        <w:t xml:space="preserve"> </w:t>
      </w:r>
      <w:r>
        <w:rPr>
          <w:rFonts w:hint="eastAsia"/>
        </w:rPr>
        <w:t xml:space="preserve">“向上半球的光通量溢散”</w:t>
      </w:r>
      <w:r>
        <w:rPr>
          <w:rFonts w:hint="eastAsia"/>
        </w:rPr>
        <w:t xml:space="preserve">值为0-5的范围。</w:t>
      </w:r>
    </w:p>
    <w:p>
      <w:pPr>
        <w:pStyle w:val="BodyText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恳请委员会评估修订此条款，要求向上半球（相对于天底≥90°角）的溢散��为0%。</w:t>
      </w:r>
    </w:p>
    <w:p>
      <w:pPr>
        <w:pStyle w:val="BodyText"/>
      </w:pPr>
      <w:r>
        <w:rPr>
          <w:rFonts w:hint="eastAsia"/>
          <w:b/>
          <w:bCs/>
        </w:rPr>
        <w:t xml:space="preserve">理由：</w:t>
      </w:r>
      <w:r>
        <w:t xml:space="preserve"> </w:t>
      </w:r>
      <w:r>
        <w:rPr>
          <w:rFonts w:hint="eastAsia"/>
        </w:rPr>
        <w:t xml:space="preserve">第1.16条要求：</w:t>
      </w:r>
      <w:r>
        <w:rPr>
          <w:rFonts w:hint="eastAsia"/>
        </w:rPr>
        <w:t xml:space="preserve">“灯具必须获得DarkSky认证，以证明是环保型灯具。制造商和灯具品牌必须获得DarkSky</w:t>
      </w:r>
      <w:r>
        <w:t xml:space="preserve"> </w:t>
      </w:r>
      <w:r>
        <w:rPr>
          <w:rFonts w:hint="eastAsia"/>
        </w:rPr>
        <w:t xml:space="preserve">International认可。”</w:t>
      </w:r>
      <w:r>
        <w:rPr>
          <w:rFonts w:hint="eastAsia"/>
        </w:rPr>
        <w:t xml:space="preserve">DarkSky认证的灯具在BUG分类中U值不能超过0%。根据IES</w:t>
      </w:r>
      <w:r>
        <w:t xml:space="preserve"> </w:t>
      </w:r>
      <w:r>
        <w:rPr>
          <w:rFonts w:hint="eastAsia"/>
        </w:rPr>
        <w:t xml:space="preserve">TM-15-20，真正的DarkSky灯具不仅需满足一个范围，还必须符合向上无光发射的物理原理。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DarkSky认证将不作为产品要求考虑。</w:t>
      </w:r>
    </w:p>
    <w:p>
      <w:r>
        <w:pict>
          <v:rect style="width:0;height:1.5pt" o:hralign="center" o:hrstd="t" o:hr="t"/>
        </w:pict>
      </w:r>
    </w:p>
    <w:bookmarkEnd w:id="19"/>
    <w:bookmarkStart w:id="20" w:name="咨询第7号---关于振动和涂层附着力的技术澄清"/>
    <w:p>
      <w:pPr>
        <w:pStyle w:val="Heading3"/>
      </w:pPr>
      <w:r>
        <w:rPr>
          <w:rFonts w:hint="eastAsia"/>
        </w:rPr>
        <w:t xml:space="preserve">咨询第7号</w:t>
      </w:r>
      <w:r>
        <w:t xml:space="preserve"> - </w:t>
      </w:r>
      <w:r>
        <w:rPr>
          <w:rFonts w:hint="eastAsia"/>
        </w:rPr>
        <w:t xml:space="preserve">关于振动和涂层附着力的技术澄清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油漆振动测试应采用什么标准？附着力测试应采用什么标准？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振动和附着力测试是两项独立测试，需对LED灯具和电池供电灯具均进行。振动测试须符合ANSI</w:t>
      </w:r>
      <w:r>
        <w:t xml:space="preserve"> </w:t>
      </w:r>
      <w:r>
        <w:rPr>
          <w:rFonts w:hint="eastAsia"/>
        </w:rPr>
        <w:t xml:space="preserve">C136.31等级3G或同等标准。涂层附着力须符合ASTM</w:t>
      </w:r>
      <w:r>
        <w:t xml:space="preserve"> </w:t>
      </w:r>
      <w:r>
        <w:rPr>
          <w:rFonts w:hint="eastAsia"/>
        </w:rPr>
        <w:t xml:space="preserve">D3359-23等级5B或同等标准。这些标准均适用于灯具。</w:t>
      </w:r>
    </w:p>
    <w:p>
      <w:r>
        <w:pict>
          <v:rect style="width:0;height:1.5pt" o:hralign="center" o:hrstd="t" o:hr="t"/>
        </w:pict>
      </w:r>
    </w:p>
    <w:bookmarkEnd w:id="20"/>
    <w:bookmarkStart w:id="21" w:name="咨询第8号---关于紫外线防护的技术澄清"/>
    <w:p>
      <w:pPr>
        <w:pStyle w:val="Heading3"/>
      </w:pPr>
      <w:r>
        <w:rPr>
          <w:rFonts w:hint="eastAsia"/>
        </w:rPr>
        <w:t xml:space="preserve">咨询第8号</w:t>
      </w:r>
      <w:r>
        <w:t xml:space="preserve"> - </w:t>
      </w:r>
      <w:r>
        <w:rPr>
          <w:rFonts w:hint="eastAsia"/>
        </w:rPr>
        <w:t xml:space="preserve">关于紫外线防护的技术澄清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恳请加入针对灯具不同组件的具体紫外线防护规范。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要求为钢化玻璃，根据PDGT第1.8条，因此不需要所引用的测试。</w:t>
      </w:r>
    </w:p>
    <w:p>
      <w:r>
        <w:pict>
          <v:rect style="width:0;height:1.5pt" o:hralign="center" o:hrstd="t" o:hr="t"/>
        </w:pict>
      </w:r>
    </w:p>
    <w:bookmarkEnd w:id="21"/>
    <w:bookmarkStart w:id="22" w:name="咨询第9号---关于电池管理系统的技术澄清"/>
    <w:p>
      <w:pPr>
        <w:pStyle w:val="Heading3"/>
      </w:pPr>
      <w:r>
        <w:rPr>
          <w:rFonts w:hint="eastAsia"/>
        </w:rPr>
        <w:t xml:space="preserve">咨询第9号</w:t>
      </w:r>
      <w:r>
        <w:t xml:space="preserve"> - </w:t>
      </w:r>
      <w:r>
        <w:rPr>
          <w:rFonts w:hint="eastAsia"/>
        </w:rPr>
        <w:t xml:space="preserve">关于电池管理系统的技术澄清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理解BMS为”Battery</w:t>
      </w:r>
      <w:r>
        <w:t xml:space="preserve"> Management </w:t>
      </w:r>
      <w:r>
        <w:rPr>
          <w:rFonts w:hint="eastAsia"/>
        </w:rPr>
        <w:t xml:space="preserve">System”，这是管理灯具性能、安全和寿命的电子系统，监控其电压、电流和温度，还能防止过充等。是否正确？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正确，BMS允许控制和监测电池的运行状态。</w:t>
      </w:r>
    </w:p>
    <w:p>
      <w:r>
        <w:pict>
          <v:rect style="width:0;height:1.5pt" o:hralign="center" o:hrstd="t" o:hr="t"/>
        </w:pict>
      </w:r>
    </w:p>
    <w:bookmarkEnd w:id="22"/>
    <w:bookmarkStart w:id="23" w:name="咨询第10号---关于电池续航时间的技术澄清"/>
    <w:p>
      <w:pPr>
        <w:pStyle w:val="Heading3"/>
      </w:pPr>
      <w:r>
        <w:rPr>
          <w:rFonts w:hint="eastAsia"/>
        </w:rPr>
        <w:t xml:space="preserve">咨询第10号</w:t>
      </w:r>
      <w:r>
        <w:t xml:space="preserve"> - </w:t>
      </w:r>
      <w:r>
        <w:rPr>
          <w:rFonts w:hint="eastAsia"/>
        </w:rPr>
        <w:t xml:space="preserve">关于电池续航时间的技术澄清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对于电池供电灯具，是否有续航时间要求？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续航时间无要求。电池供电灯具将在停电时提供最低照明服务。因此将配置为根据灯具功率和运行模式提供最大续航时间。</w:t>
      </w:r>
    </w:p>
    <w:p>
      <w:r>
        <w:pict>
          <v:rect style="width:0;height:1.5pt" o:hralign="center" o:hrstd="t" o:hr="t"/>
        </w:pict>
      </w:r>
    </w:p>
    <w:bookmarkEnd w:id="23"/>
    <w:bookmarkStart w:id="24" w:name="咨询第11号---关于电池容量的技术澄清"/>
    <w:p>
      <w:pPr>
        <w:pStyle w:val="Heading3"/>
      </w:pPr>
      <w:r>
        <w:rPr>
          <w:rFonts w:hint="eastAsia"/>
        </w:rPr>
        <w:t xml:space="preserve">咨询第11号</w:t>
      </w:r>
      <w:r>
        <w:t xml:space="preserve"> - </w:t>
      </w:r>
      <w:r>
        <w:rPr>
          <w:rFonts w:hint="eastAsia"/>
        </w:rPr>
        <w:t xml:space="preserve">关于电池容量的技术澄清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文件原文：</w:t>
      </w:r>
      <w:r>
        <w:t xml:space="preserve"> </w:t>
      </w:r>
      <w:r>
        <w:rPr>
          <w:rFonts w:hint="eastAsia"/>
        </w:rPr>
        <w:t xml:space="preserve">“电池容量150Wh”</w:t>
      </w:r>
    </w:p>
    <w:p>
      <w:pPr>
        <w:pStyle w:val="BodyText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此要求目前与灯具功率无关。恳请评估根据每个灯具调整此要求，以降低某些功率的成本。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保持所有功率范围的电池容量不变。</w:t>
      </w:r>
    </w:p>
    <w:p>
      <w:r>
        <w:pict>
          <v:rect style="width:0;height:1.5pt" o:hralign="center" o:hrstd="t" o:hr="t"/>
        </w:pict>
      </w:r>
    </w:p>
    <w:bookmarkEnd w:id="24"/>
    <w:bookmarkStart w:id="25" w:name="咨询第12号---关于光学研究的技术澄清"/>
    <w:p>
      <w:pPr>
        <w:pStyle w:val="Heading3"/>
      </w:pPr>
      <w:r>
        <w:rPr>
          <w:rFonts w:hint="eastAsia"/>
        </w:rPr>
        <w:t xml:space="preserve">咨询第12号</w:t>
      </w:r>
      <w:r>
        <w:t xml:space="preserve"> - </w:t>
      </w:r>
      <w:r>
        <w:rPr>
          <w:rFonts w:hint="eastAsia"/>
        </w:rPr>
        <w:t xml:space="preserve">关于光学研究的技术澄清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是否需为附件II中每个地理位置的道路提供光学研究？是否接受符合SIE的道路分类”M”类（4或6功率，而非14种功率）的提案？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将进行分析仿真以识别最小合规抽样。提供包含计算截面几何的”光模型表格”Excel文件。同时要求每个批次的灯具数量。EDESUR</w:t>
      </w:r>
      <w:r>
        <w:t xml:space="preserve"> - </w:t>
      </w:r>
      <w:r>
        <w:rPr>
          <w:rFonts w:hint="eastAsia"/>
        </w:rPr>
        <w:t xml:space="preserve">100个路段；EDENORTE</w:t>
      </w:r>
      <w:r>
        <w:t xml:space="preserve"> - </w:t>
      </w:r>
      <w:r>
        <w:rPr>
          <w:rFonts w:hint="eastAsia"/>
        </w:rPr>
        <w:t xml:space="preserve">100个路段；EDEESTE</w:t>
      </w:r>
      <w:r>
        <w:t xml:space="preserve"> - </w:t>
      </w:r>
      <w:r>
        <w:rPr>
          <w:rFonts w:hint="eastAsia"/>
        </w:rPr>
        <w:t xml:space="preserve">110个路段。</w:t>
      </w:r>
    </w:p>
    <w:p>
      <w:r>
        <w:pict>
          <v:rect style="width:0;height:1.5pt" o:hralign="center" o:hrstd="t" o:hr="t"/>
        </w:pict>
      </w:r>
    </w:p>
    <w:bookmarkEnd w:id="25"/>
    <w:bookmarkStart w:id="26" w:name="咨询第13号---关于功率要求的技术澄清"/>
    <w:p>
      <w:pPr>
        <w:pStyle w:val="Heading3"/>
      </w:pPr>
      <w:r>
        <w:rPr>
          <w:rFonts w:hint="eastAsia"/>
        </w:rPr>
        <w:t xml:space="preserve">咨询第13号</w:t>
      </w:r>
      <w:r>
        <w:t xml:space="preserve"> - </w:t>
      </w:r>
      <w:r>
        <w:rPr>
          <w:rFonts w:hint="eastAsia"/>
        </w:rPr>
        <w:t xml:space="preserve">关于功率要求的技术澄清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是否需按PDGT中每个功率投标？参与者是否能根据功率组合或仅14种功率中的少数几种提出报价？是否可共享需考虑的道路轮廓尺寸以评估LED功率？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将提供”光模型表格”Excel文件，包含计算截面几何。要求每个批次的灯具数量。</w:t>
      </w:r>
    </w:p>
    <w:p>
      <w:r>
        <w:pict>
          <v:rect style="width:0;height:1.5pt" o:hralign="center" o:hrstd="t" o:hr="t"/>
        </w:pict>
      </w:r>
    </w:p>
    <w:bookmarkEnd w:id="26"/>
    <w:bookmarkStart w:id="27" w:name="咨询第14号---关于倾斜角度的技术澄清"/>
    <w:p>
      <w:pPr>
        <w:pStyle w:val="Heading3"/>
      </w:pPr>
      <w:r>
        <w:rPr>
          <w:rFonts w:hint="eastAsia"/>
        </w:rPr>
        <w:t xml:space="preserve">咨询第14号</w:t>
      </w:r>
      <w:r>
        <w:t xml:space="preserve"> - </w:t>
      </w:r>
      <w:r>
        <w:rPr>
          <w:rFonts w:hint="eastAsia"/>
        </w:rPr>
        <w:t xml:space="preserve">关于倾斜角度的技术澄清</w:t>
      </w:r>
    </w:p>
    <w:p>
      <w:pPr>
        <w:pStyle w:val="FirstParagraph"/>
      </w:pPr>
      <w:r>
        <w:rPr>
          <w:rFonts w:hint="eastAsia"/>
          <w:b/>
          <w:bCs/>
        </w:rPr>
        <w:t xml:space="preserve">文件原文：</w:t>
      </w:r>
      <w:r>
        <w:t xml:space="preserve"> </w:t>
      </w:r>
      <w:r>
        <w:rPr>
          <w:rFonts w:hint="eastAsia"/>
        </w:rPr>
        <w:t xml:space="preserve">“灯体倾斜范围</w:t>
      </w:r>
      <w:r>
        <w:t xml:space="preserve"> - ±20°”</w:t>
      </w:r>
    </w:p>
    <w:p>
      <w:pPr>
        <w:pStyle w:val="BodyText"/>
      </w:pPr>
      <w:r>
        <w:rPr>
          <w:rFonts w:hint="eastAsia"/>
          <w:b/>
          <w:bCs/>
        </w:rPr>
        <w:t xml:space="preserve">理由：</w:t>
      </w:r>
      <w:r>
        <w:t xml:space="preserve"> </w:t>
      </w:r>
      <w:r>
        <w:rPr>
          <w:rFonts w:hint="eastAsia"/>
        </w:rPr>
        <w:t xml:space="preserve">此调整将使更多参与者提出产品解决方案，以实现最大节能，将光投向需要之处，而非以倾斜角度放置造成光污染。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将不视DarkSky认证为产品要求。</w:t>
      </w:r>
    </w:p>
    <w:p>
      <w:r>
        <w:pict>
          <v:rect style="width:0;height:1.5pt" o:hralign="center" o:hrstd="t" o:hr="t"/>
        </w:pict>
      </w:r>
    </w:p>
    <w:bookmarkEnd w:id="27"/>
    <w:bookmarkStart w:id="28" w:name="咨询第15号---关于经验累加计算方式的澄清"/>
    <w:p>
      <w:pPr>
        <w:pStyle w:val="Heading3"/>
      </w:pPr>
      <w:r>
        <w:rPr>
          <w:rFonts w:hint="eastAsia"/>
        </w:rPr>
        <w:t xml:space="preserve">咨询第15号</w:t>
      </w:r>
      <w:r>
        <w:t xml:space="preserve"> - </w:t>
      </w:r>
      <w:r>
        <w:rPr>
          <w:rFonts w:hint="eastAsia"/>
        </w:rPr>
        <w:t xml:space="preserve">关于经验累加计算方式的澄清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是否25万个灯具必须来自单一项目，或可通过多个类似性质的项目累计（经适当认证）达到最低门槛？是否必须作为主要承包商执行？仅作为分包商的经验是否无效？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要求每个批次的灯具数量。不同地点的不同项目可累加计算。关于经验，必须证明从事过灯具供应和安装工作。</w:t>
      </w:r>
    </w:p>
    <w:p>
      <w:r>
        <w:pict>
          <v:rect style="width:0;height:1.5pt" o:hralign="center" o:hrstd="t" o:hr="t"/>
        </w:pict>
      </w:r>
    </w:p>
    <w:bookmarkEnd w:id="28"/>
    <w:bookmarkStart w:id="29" w:name="咨询第16号---关于联合体中制造商经验的澄清"/>
    <w:p>
      <w:pPr>
        <w:pStyle w:val="Heading3"/>
      </w:pPr>
      <w:r>
        <w:rPr>
          <w:rFonts w:hint="eastAsia"/>
        </w:rPr>
        <w:t xml:space="preserve">咨询第16号</w:t>
      </w:r>
      <w:r>
        <w:t xml:space="preserve"> - </w:t>
      </w:r>
      <w:r>
        <w:rPr>
          <w:rFonts w:hint="eastAsia"/>
        </w:rPr>
        <w:t xml:space="preserve">关于联合体中制造商经验的澄清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通过制造商联合体投标，是否制造商的25万个灯具���应证书足够？或至少一个联合体成员必须作为主要承包商执行过类似项目？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至少一个联合体成员必须满足文件中规定的技術能力。</w:t>
      </w:r>
    </w:p>
    <w:p>
      <w:r>
        <w:pict>
          <v:rect style="width:0;height:1.5pt" o:hralign="center" o:hrstd="t" o:hr="t"/>
        </w:pict>
      </w:r>
    </w:p>
    <w:bookmarkEnd w:id="29"/>
    <w:bookmarkStart w:id="30" w:name="咨询第17号---关于经验要求的均衡性"/>
    <w:p>
      <w:pPr>
        <w:pStyle w:val="Heading3"/>
      </w:pPr>
      <w:r>
        <w:rPr>
          <w:rFonts w:hint="eastAsia"/>
        </w:rPr>
        <w:t xml:space="preserve">咨询第17号</w:t>
      </w:r>
      <w:r>
        <w:t xml:space="preserve"> - </w:t>
      </w:r>
      <w:r>
        <w:rPr>
          <w:rFonts w:hint="eastAsia"/>
        </w:rPr>
        <w:t xml:space="preserve">关于经验要求的均衡性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经验要求（25万个灯具）远超三个批次的灯具总量（每个批次少于7.5万个）。对仅投一个批次的投标人设置25万个上限不合理。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要求每个批次的灯具数量。</w:t>
      </w:r>
    </w:p>
    <w:p>
      <w:r>
        <w:pict>
          <v:rect style="width:0;height:1.5pt" o:hralign="center" o:hrstd="t" o:hr="t"/>
        </w:pict>
      </w:r>
    </w:p>
    <w:bookmarkEnd w:id="30"/>
    <w:bookmarkStart w:id="31" w:name="咨询第18号---关于投标准备期限不足"/>
    <w:p>
      <w:pPr>
        <w:pStyle w:val="Heading3"/>
      </w:pPr>
      <w:r>
        <w:rPr>
          <w:rFonts w:hint="eastAsia"/>
        </w:rPr>
        <w:t xml:space="preserve">咨询第18号</w:t>
      </w:r>
      <w:r>
        <w:t xml:space="preserve"> - </w:t>
      </w:r>
      <w:r>
        <w:rPr>
          <w:rFonts w:hint="eastAsia"/>
        </w:rPr>
        <w:t xml:space="preserve">关于投标准备期限不足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考虑到项目技术复杂性和文件要求的工作量，以及圣周期间的时间，有效工作日显著减少，当前期限不足。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评估延期提交投标的可能性（与项目总协调员协商）。</w:t>
      </w:r>
    </w:p>
    <w:p>
      <w:r>
        <w:pict>
          <v:rect style="width:0;height:1.5pt" o:hralign="center" o:hrstd="t" o:hr="t"/>
        </w:pict>
      </w:r>
    </w:p>
    <w:bookmarkEnd w:id="31"/>
    <w:bookmarkStart w:id="32" w:name="咨询第19号---关于技术能力要求过高"/>
    <w:p>
      <w:pPr>
        <w:pStyle w:val="Heading3"/>
      </w:pPr>
      <w:r>
        <w:rPr>
          <w:rFonts w:hint="eastAsia"/>
        </w:rPr>
        <w:t xml:space="preserve">咨询第19号</w:t>
      </w:r>
      <w:r>
        <w:t xml:space="preserve"> - </w:t>
      </w:r>
      <w:r>
        <w:rPr>
          <w:rFonts w:hint="eastAsia"/>
        </w:rPr>
        <w:t xml:space="preserve">关于技术能力要求过高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第2.4条IAL39款要求25万个已安装灯具的累计经验。此门槛远超任何批次的灯具总量，可能排除有技术能力的公司。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要求每个批次的灯具数量。</w:t>
      </w:r>
    </w:p>
    <w:p>
      <w:r>
        <w:pict>
          <v:rect style="width:0;height:1.5pt" o:hralign="center" o:hrstd="t" o:hr="t"/>
        </w:pict>
      </w:r>
    </w:p>
    <w:bookmarkEnd w:id="32"/>
    <w:bookmarkStart w:id="33" w:name="咨询第20号---重复咨询第15号关于经验累加计算"/>
    <w:p>
      <w:pPr>
        <w:pStyle w:val="Heading3"/>
      </w:pPr>
      <w:r>
        <w:rPr>
          <w:rFonts w:hint="eastAsia"/>
        </w:rPr>
        <w:t xml:space="preserve">咨询第20号</w:t>
      </w:r>
      <w:r>
        <w:t xml:space="preserve"> - </w:t>
      </w:r>
      <w:r>
        <w:rPr>
          <w:rFonts w:hint="eastAsia"/>
        </w:rPr>
        <w:t xml:space="preserve">重复咨询第15号（关于经验累加计算）</w:t>
      </w:r>
    </w:p>
    <w:p>
      <w:r>
        <w:pict>
          <v:rect style="width:0;height:1.5pt" o:hralign="center" o:hrstd="t" o:hr="t"/>
        </w:pict>
      </w:r>
    </w:p>
    <w:bookmarkEnd w:id="33"/>
    <w:bookmarkStart w:id="34" w:name="咨询第21号---关于ansi-c136.1标准不适用"/>
    <w:p>
      <w:pPr>
        <w:pStyle w:val="Heading3"/>
      </w:pPr>
      <w:r>
        <w:rPr>
          <w:rFonts w:hint="eastAsia"/>
        </w:rPr>
        <w:t xml:space="preserve">咨询第21号</w:t>
      </w:r>
      <w:r>
        <w:t xml:space="preserve"> - </w:t>
      </w:r>
      <w:r>
        <w:rPr>
          <w:rFonts w:hint="eastAsia"/>
        </w:rPr>
        <w:t xml:space="preserve">关于ANSI</w:t>
      </w:r>
      <w:r>
        <w:t xml:space="preserve"> </w:t>
      </w:r>
      <w:r>
        <w:rPr>
          <w:rFonts w:hint="eastAsia"/>
        </w:rPr>
        <w:t xml:space="preserve">C136.1标准不适用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t xml:space="preserve">ANSI </w:t>
      </w:r>
      <w:r>
        <w:rPr>
          <w:rFonts w:hint="eastAsia"/>
        </w:rPr>
        <w:t xml:space="preserve">C136.1标准适用于白炽灯，不适用于LED灯具。建议删除。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系笔误，需删除该标准的引用。</w:t>
      </w:r>
    </w:p>
    <w:p>
      <w:r>
        <w:pict>
          <v:rect style="width:0;height:1.5pt" o:hralign="center" o:hrstd="t" o:hr="t"/>
        </w:pict>
      </w:r>
    </w:p>
    <w:bookmarkEnd w:id="34"/>
    <w:bookmarkStart w:id="35" w:name="咨询第22号---关于标准等效性"/>
    <w:p>
      <w:pPr>
        <w:pStyle w:val="Heading3"/>
      </w:pPr>
      <w:r>
        <w:rPr>
          <w:rFonts w:hint="eastAsia"/>
        </w:rPr>
        <w:t xml:space="preserve">咨询第22号</w:t>
      </w:r>
      <w:r>
        <w:t xml:space="preserve"> - </w:t>
      </w:r>
      <w:r>
        <w:rPr>
          <w:rFonts w:hint="eastAsia"/>
        </w:rPr>
        <w:t xml:space="preserve">关于标准等效性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ANSI标准可由IEC/EN等效标准替代？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承认符合相应ANSI标准的国际标准。</w:t>
      </w:r>
    </w:p>
    <w:p>
      <w:r>
        <w:pict>
          <v:rect style="width:0;height:1.5pt" o:hralign="center" o:hrstd="t" o:hr="t"/>
        </w:pict>
      </w:r>
    </w:p>
    <w:bookmarkEnd w:id="35"/>
    <w:bookmarkStart w:id="36" w:name="咨询第23号---关于ul认证的等效性"/>
    <w:p>
      <w:pPr>
        <w:pStyle w:val="Heading3"/>
      </w:pPr>
      <w:r>
        <w:rPr>
          <w:rFonts w:hint="eastAsia"/>
        </w:rPr>
        <w:t xml:space="preserve">咨询第23号</w:t>
      </w:r>
      <w:r>
        <w:t xml:space="preserve"> - </w:t>
      </w:r>
      <w:r>
        <w:rPr>
          <w:rFonts w:hint="eastAsia"/>
        </w:rPr>
        <w:t xml:space="preserve">关于UL认证的等效性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CE认证是否可作为等效认证接受？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承认符合相应ANSI标准的国际标准。</w:t>
      </w:r>
    </w:p>
    <w:p>
      <w:r>
        <w:pict>
          <v:rect style="width:0;height:1.5pt" o:hralign="center" o:hrstd="t" o:hr="t"/>
        </w:pict>
      </w:r>
    </w:p>
    <w:bookmarkEnd w:id="36"/>
    <w:bookmarkStart w:id="37" w:name="咨询第24号---关于光通量计算方式"/>
    <w:p>
      <w:pPr>
        <w:pStyle w:val="Heading3"/>
      </w:pPr>
      <w:r>
        <w:rPr>
          <w:rFonts w:hint="eastAsia"/>
        </w:rPr>
        <w:t xml:space="preserve">咨询第24号</w:t>
      </w:r>
      <w:r>
        <w:t xml:space="preserve"> - </w:t>
      </w:r>
      <w:r>
        <w:rPr>
          <w:rFonts w:hint="eastAsia"/>
        </w:rPr>
        <w:t xml:space="preserve">关于光通量计算方式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光通量是否应根据标称功率乘以光效确定？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删除光通量≥11700lm的要求。唯一要求为满足光效≥150</w:t>
      </w:r>
      <w:r>
        <w:t xml:space="preserve"> </w:t>
      </w:r>
      <w:r>
        <w:rPr>
          <w:rFonts w:hint="eastAsia"/>
        </w:rPr>
        <w:t xml:space="preserve">lm/W。第3号咨询表格中的建议值正确。</w:t>
      </w:r>
    </w:p>
    <w:p>
      <w:r>
        <w:pict>
          <v:rect style="width:0;height:1.5pt" o:hralign="center" o:hrstd="t" o:hr="t"/>
        </w:pict>
      </w:r>
    </w:p>
    <w:bookmarkEnd w:id="37"/>
    <w:bookmarkStart w:id="38" w:name="咨询第25号---关于电池灯具功率的笔误"/>
    <w:p>
      <w:pPr>
        <w:pStyle w:val="Heading3"/>
      </w:pPr>
      <w:r>
        <w:rPr>
          <w:rFonts w:hint="eastAsia"/>
        </w:rPr>
        <w:t xml:space="preserve">咨询第25号</w:t>
      </w:r>
      <w:r>
        <w:t xml:space="preserve"> - </w:t>
      </w:r>
      <w:r>
        <w:rPr>
          <w:rFonts w:hint="eastAsia"/>
        </w:rPr>
        <w:t xml:space="preserve">关于电池灯具功率的笔误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文档中功率定义为100W，与技术文档标题中的标称功率冲突。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系笔误，根据每个文档标题考虑相应功率。</w:t>
      </w:r>
    </w:p>
    <w:p>
      <w:r>
        <w:pict>
          <v:rect style="width:0;height:1.5pt" o:hralign="center" o:hrstd="t" o:hr="t"/>
        </w:pict>
      </w:r>
    </w:p>
    <w:bookmarkEnd w:id="38"/>
    <w:bookmarkStart w:id="39" w:name="咨询第26号---关于样品提交数量"/>
    <w:p>
      <w:pPr>
        <w:pStyle w:val="Heading3"/>
      </w:pPr>
      <w:r>
        <w:rPr>
          <w:rFonts w:hint="eastAsia"/>
        </w:rPr>
        <w:t xml:space="preserve">咨询第26号</w:t>
      </w:r>
      <w:r>
        <w:t xml:space="preserve"> - </w:t>
      </w:r>
      <w:r>
        <w:rPr>
          <w:rFonts w:hint="eastAsia"/>
        </w:rPr>
        <w:t xml:space="preserve">关于样品提交数量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每种标称功率应提交多少样品？何时提交？提交地点？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样品将在部分中标后、最终中标前要求提供。提供每个批次的样品数量和规格。在最终中标后21日历日内交付每种功率样品一个。</w:t>
      </w:r>
    </w:p>
    <w:p>
      <w:r>
        <w:pict>
          <v:rect style="width:0;height:1.5pt" o:hralign="center" o:hrstd="t" o:hr="t"/>
        </w:pict>
      </w:r>
    </w:p>
    <w:bookmarkEnd w:id="39"/>
    <w:bookmarkStart w:id="40" w:name="咨询第27号---关于中国劳动节假期与延期"/>
    <w:p>
      <w:pPr>
        <w:pStyle w:val="Heading3"/>
      </w:pPr>
      <w:r>
        <w:rPr>
          <w:rFonts w:hint="eastAsia"/>
        </w:rPr>
        <w:t xml:space="preserve">咨询第27号</w:t>
      </w:r>
      <w:r>
        <w:t xml:space="preserve"> - </w:t>
      </w:r>
      <w:r>
        <w:rPr>
          <w:rFonts w:hint="eastAsia"/>
        </w:rPr>
        <w:t xml:space="preserve">关于中国劳动节假期与延期</w:t>
      </w:r>
    </w:p>
    <w:p>
      <w:pPr>
        <w:pStyle w:val="FirstParagraph"/>
      </w:pPr>
      <w:r>
        <w:rPr>
          <w:rFonts w:hint="eastAsia"/>
          <w:b/>
          <w:bCs/>
        </w:rPr>
        <w:t xml:space="preserve">问题：</w:t>
      </w:r>
      <w:r>
        <w:t xml:space="preserve"> </w:t>
      </w:r>
      <w:r>
        <w:rPr>
          <w:rFonts w:hint="eastAsia"/>
        </w:rPr>
        <w:t xml:space="preserve">中国劳动节（5月1日至5日）期间受影响，恳请延期至6月20日。</w:t>
      </w:r>
    </w:p>
    <w:p>
      <w:pPr>
        <w:pStyle w:val="BodyText"/>
      </w:pPr>
      <w:r>
        <w:rPr>
          <w:rFonts w:hint="eastAsia"/>
          <w:b/>
          <w:bCs/>
        </w:rPr>
        <w:t xml:space="preserve">答复：</w:t>
      </w:r>
      <w:r>
        <w:t xml:space="preserve"> </w:t>
      </w:r>
      <w:r>
        <w:rPr>
          <w:rFonts w:hint="eastAsia"/>
        </w:rPr>
        <w:t xml:space="preserve">Auditesa团队建议，从公告起的总投标期限延长15日历日，共60天。</w:t>
      </w:r>
    </w:p>
    <w:p>
      <w:r>
        <w:pict>
          <v:rect style="width:0;height:1.5pt" o:hralign="center" o:hrstd="t" o:hr="t"/>
        </w:pict>
      </w:r>
    </w:p>
    <w:bookmarkEnd w:id="40"/>
    <w:bookmarkStart w:id="41" w:name="post-会议咨询"/>
    <w:p>
      <w:pPr>
        <w:pStyle w:val="Heading3"/>
      </w:pPr>
      <w:r>
        <w:rPr>
          <w:rFonts w:hint="eastAsia"/>
        </w:rPr>
        <w:t xml:space="preserve">Post-会议咨询</w:t>
      </w:r>
    </w:p>
    <w:p>
      <w:pPr>
        <w:pStyle w:val="FirstParagraph"/>
      </w:pPr>
      <w:r>
        <w:rPr>
          <w:rFonts w:hint="eastAsia"/>
          <w:b/>
          <w:bCs/>
        </w:rPr>
        <w:t xml:space="preserve">[内容重复前面咨询，此处省略]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3" w:name="最终说明"/>
    <w:p>
      <w:pPr>
        <w:pStyle w:val="Heading2"/>
      </w:pPr>
      <w:r>
        <w:rPr>
          <w:rFonts w:hint="eastAsia"/>
        </w:rPr>
        <w:t xml:space="preserve">最终说明</w:t>
      </w:r>
    </w:p>
    <w:p>
      <w:pPr>
        <w:pStyle w:val="FirstParagraph"/>
      </w:pPr>
      <w:r>
        <w:rPr>
          <w:rFonts w:hint="eastAsia"/>
        </w:rPr>
        <w:t xml:space="preserve">本澄清文件具有说明性质，不修改招标文件内容。如澄清内容需进行正式修改，将通过相应修正案处理。</w:t>
      </w:r>
    </w:p>
    <w:p>
      <w:pPr>
        <w:pStyle w:val="BodyText"/>
      </w:pPr>
      <w:r>
        <w:rPr>
          <w:rFonts w:hint="eastAsia"/>
        </w:rPr>
        <w:t xml:space="preserve">如本文件与招标文件内容有任何冲突，以招标文件为准（除非有正式修正案）。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发布单位：</w:t>
      </w:r>
      <w:r>
        <w:t xml:space="preserve"> </w:t>
      </w:r>
      <w:r>
        <w:rPr>
          <w:rFonts w:hint="eastAsia"/>
        </w:rPr>
        <w:t xml:space="preserve">Auditesa采购委员会</w:t>
      </w:r>
      <w:r>
        <w:t xml:space="preserve"> </w:t>
      </w:r>
      <w:r>
        <w:rPr>
          <w:rFonts w:hint="eastAsia"/>
          <w:b/>
          <w:bCs/>
        </w:rPr>
        <w:t xml:space="preserve">项目协调：</w:t>
      </w:r>
      <w:r>
        <w:t xml:space="preserve"> </w:t>
      </w:r>
      <w:r>
        <w:rPr>
          <w:rFonts w:hint="eastAsia"/>
        </w:rPr>
        <w:t xml:space="preserve">UEP（项目执行单位）</w:t>
      </w:r>
    </w:p>
    <w:bookmarkEnd w:id="43"/>
    <w:bookmarkEnd w:id="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2026-05-08T23:35:48Z</dcterms:created>
  <dcterms:modified xsi:type="dcterms:W3CDTF">2026-05-08T23:35:48Z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