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5" w:name="bid路灯标书澄清文件全文翻译"/>
    <w:p>
      <w:pPr>
        <w:pStyle w:val="Heading1"/>
      </w:pPr>
      <w:r>
        <w:rPr>
          <w:rFonts w:hint="eastAsia"/>
        </w:rPr>
        <w:t xml:space="preserve">BID路灯标书澄清文件全文翻译</w:t>
      </w:r>
    </w:p>
    <w:bookmarkStart w:id="9" w:name="项目信息"/>
    <w:p>
      <w:pPr>
        <w:pStyle w:val="Heading2"/>
      </w:pPr>
      <w:r>
        <w:rPr>
          <w:rFonts w:hint="eastAsia"/>
        </w:rPr>
        <w:t xml:space="preserve">项目信息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项目编号</w:t>
      </w:r>
      <w:r>
        <w:rPr>
          <w:rFonts w:hint="eastAsia"/>
        </w:rPr>
        <w:t xml:space="preserve">：LPI-MEM-BID-2026-001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项目名称</w:t>
      </w:r>
      <w:r>
        <w:rPr>
          <w:rFonts w:hint="eastAsia"/>
        </w:rPr>
        <w:t xml:space="preserve">：多米尼加共和国公共照明节能改造项目（EDESUR,</w:t>
      </w:r>
      <w:r>
        <w:t xml:space="preserve"> EDENORTE, </w:t>
      </w:r>
      <w:r>
        <w:rPr>
          <w:rFonts w:hint="eastAsia"/>
        </w:rPr>
        <w:t xml:space="preserve">EDEESTE）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贷款编号</w:t>
      </w:r>
      <w:r>
        <w:rPr>
          <w:rFonts w:hint="eastAsia"/>
        </w:rPr>
        <w:t xml:space="preserve">：BID</w:t>
      </w:r>
      <w:r>
        <w:t xml:space="preserve"> 4962/OC-DR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招标方式</w:t>
      </w:r>
      <w:r>
        <w:rPr>
          <w:rFonts w:hint="eastAsia"/>
        </w:rPr>
        <w:t xml:space="preserve">：国际公开招标（LPI）</w:t>
      </w:r>
    </w:p>
    <w:p>
      <w:r>
        <w:pict>
          <v:rect style="width:0;height:1.5pt" o:hralign="center" o:hrstd="t" o:hr="t"/>
        </w:pict>
      </w:r>
    </w:p>
    <w:bookmarkEnd w:id="9"/>
    <w:bookmarkStart w:id="10" w:name="背景说明"/>
    <w:p>
      <w:pPr>
        <w:pStyle w:val="Heading2"/>
      </w:pPr>
      <w:r>
        <w:rPr>
          <w:rFonts w:hint="eastAsia"/>
        </w:rPr>
        <w:t xml:space="preserve">背景说明</w:t>
      </w:r>
    </w:p>
    <w:p>
      <w:pPr>
        <w:pStyle w:val="FirstParagraph"/>
      </w:pPr>
      <w:r>
        <w:rPr>
          <w:rFonts w:hint="eastAsia"/>
        </w:rPr>
        <w:t xml:space="preserve">本文件为针对投标人在规定期限内提出的咨询所做出的澄清答复。根据采购条款的适用规定，采购委员会发布以下澄清说明：</w:t>
      </w:r>
    </w:p>
    <w:p>
      <w:r>
        <w:pict>
          <v:rect style="width:0;height:1.5pt" o:hralign="center" o:hrstd="t" o:hr="t"/>
        </w:pict>
      </w:r>
    </w:p>
    <w:bookmarkEnd w:id="10"/>
    <w:bookmarkStart w:id="43" w:name="核心澄清内容"/>
    <w:p>
      <w:pPr>
        <w:pStyle w:val="Heading2"/>
      </w:pPr>
      <w:r>
        <w:rPr>
          <w:rFonts w:hint="eastAsia"/>
        </w:rPr>
        <w:t xml:space="preserve">核心澄清内容</w:t>
      </w:r>
    </w:p>
    <w:bookmarkStart w:id="11" w:name="darksky认证---取消"/>
    <w:p>
      <w:pPr>
        <w:pStyle w:val="Heading3"/>
      </w:pPr>
      <w:r>
        <w:t xml:space="preserve">1. </w:t>
      </w:r>
      <w:r>
        <w:rPr>
          <w:rFonts w:hint="eastAsia"/>
        </w:rPr>
        <w:t xml:space="preserve">DarkSky认证</w:t>
      </w:r>
      <w:r>
        <w:t xml:space="preserve"> - </w:t>
      </w:r>
      <w:r>
        <w:rPr>
          <w:rFonts w:hint="eastAsia"/>
        </w:rPr>
        <w:t xml:space="preserve">取消</w:t>
      </w:r>
      <w:r>
        <w:t xml:space="preserve"> ❌</w:t>
      </w:r>
    </w:p>
    <w:p>
      <w:pPr>
        <w:pStyle w:val="FirstParagraph"/>
      </w:pPr>
      <w:r>
        <w:rPr>
          <w:rFonts w:hint="eastAsia"/>
          <w:b/>
          <w:bCs/>
        </w:rPr>
        <w:t xml:space="preserve">原要求</w:t>
      </w:r>
      <w:r>
        <w:rPr>
          <w:rFonts w:hint="eastAsia"/>
        </w:rPr>
        <w:t xml:space="preserve">：灯具需获得DarkSky</w:t>
      </w:r>
      <w:r>
        <w:t xml:space="preserve"> </w:t>
      </w:r>
      <w:r>
        <w:rPr>
          <w:rFonts w:hint="eastAsia"/>
        </w:rPr>
        <w:t xml:space="preserve">International认证</w:t>
      </w:r>
    </w:p>
    <w:p>
      <w:pPr>
        <w:pStyle w:val="BodyText"/>
      </w:pPr>
      <w:r>
        <w:rPr>
          <w:rFonts w:hint="eastAsia"/>
          <w:b/>
          <w:bCs/>
        </w:rPr>
        <w:t xml:space="preserve">新要求</w:t>
      </w:r>
      <w:r>
        <w:rPr>
          <w:rFonts w:hint="eastAsia"/>
        </w:rPr>
        <w:t xml:space="preserve">：</w:t>
      </w:r>
      <w:r>
        <w:rPr>
          <w:rFonts w:hint="eastAsia"/>
          <w:b/>
          <w:bCs/>
        </w:rPr>
        <w:t xml:space="preserve">不再要求</w:t>
      </w:r>
      <w:r>
        <w:rPr>
          <w:rFonts w:hint="eastAsia"/>
        </w:rPr>
        <w:t xml:space="preserve">DarkSky认证作为产品要求</w:t>
      </w:r>
    </w:p>
    <w:p>
      <w:pPr>
        <w:pStyle w:val="BodyText"/>
      </w:pPr>
      <w:r>
        <w:rPr>
          <w:rFonts w:hint="eastAsia"/>
          <w:b/>
          <w:bCs/>
        </w:rPr>
        <w:t xml:space="preserve">原因</w:t>
      </w:r>
      <w:r>
        <w:rPr>
          <w:rFonts w:hint="eastAsia"/>
        </w:rPr>
        <w:t xml:space="preserve">：DarkSky认证与招标文件中的技术参数存在冲突（倾斜角度要求等）</w:t>
      </w:r>
    </w:p>
    <w:p>
      <w:r>
        <w:pict>
          <v:rect style="width:0;height:1.5pt" o:hralign="center" o:hrstd="t" o:hr="t"/>
        </w:pict>
      </w:r>
    </w:p>
    <w:bookmarkEnd w:id="11"/>
    <w:bookmarkStart w:id="12" w:name="光通量要求---修改"/>
    <w:p>
      <w:pPr>
        <w:pStyle w:val="Heading3"/>
      </w:pPr>
      <w:r>
        <w:t xml:space="preserve">2. </w:t>
      </w:r>
      <w:r>
        <w:rPr>
          <w:rFonts w:hint="eastAsia"/>
        </w:rPr>
        <w:t xml:space="preserve">光通量要求</w:t>
      </w:r>
      <w:r>
        <w:t xml:space="preserve"> - </w:t>
      </w:r>
      <w:r>
        <w:rPr>
          <w:rFonts w:hint="eastAsia"/>
        </w:rPr>
        <w:t xml:space="preserve">修改</w:t>
      </w:r>
    </w:p>
    <w:p>
      <w:pPr>
        <w:pStyle w:val="FirstParagraph"/>
      </w:pPr>
      <w:r>
        <w:rPr>
          <w:rFonts w:hint="eastAsia"/>
          <w:b/>
          <w:bCs/>
        </w:rPr>
        <w:t xml:space="preserve">原要求</w:t>
      </w:r>
      <w:r>
        <w:rPr>
          <w:rFonts w:hint="eastAsia"/>
        </w:rPr>
        <w:t xml:space="preserve">：所有功率路灯光通量≥11,700</w:t>
      </w:r>
      <w:r>
        <w:t xml:space="preserve"> lm</w:t>
      </w:r>
    </w:p>
    <w:p>
      <w:pPr>
        <w:pStyle w:val="BodyText"/>
      </w:pPr>
      <w:r>
        <w:rPr>
          <w:rFonts w:hint="eastAsia"/>
          <w:b/>
          <w:bCs/>
        </w:rPr>
        <w:t xml:space="preserve">新要求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取消固定光通量要求</w:t>
      </w:r>
      <w:r>
        <w:t xml:space="preserve"> </w:t>
      </w:r>
      <w:r>
        <w:t xml:space="preserve">- </w:t>
      </w:r>
      <w:r>
        <w:rPr>
          <w:rFonts w:hint="eastAsia"/>
        </w:rPr>
        <w:t xml:space="preserve">改为：</w:t>
      </w:r>
      <w:r>
        <w:rPr>
          <w:rFonts w:hint="eastAsia"/>
          <w:b/>
          <w:bCs/>
        </w:rPr>
        <w:t xml:space="preserve">发光效率≥150</w:t>
      </w:r>
      <w:r>
        <w:rPr>
          <w:b/>
          <w:bCs/>
        </w:rPr>
        <w:t xml:space="preserve"> lm/W</w:t>
      </w:r>
      <w:r>
        <w:rPr>
          <w:rFonts w:hint="eastAsia"/>
        </w:rPr>
        <w:t xml:space="preserve">（实测值）</w:t>
      </w:r>
      <w:r>
        <w:t xml:space="preserve"> </w:t>
      </w:r>
      <w:r>
        <w:t xml:space="preserve">- </w:t>
      </w:r>
      <w:r>
        <w:rPr>
          <w:rFonts w:hint="eastAsia"/>
        </w:rPr>
        <w:t xml:space="preserve">申请人建议的光通量表格将被纳入PDGT</w:t>
      </w:r>
    </w:p>
    <w:p>
      <w:r>
        <w:pict>
          <v:rect style="width:0;height:1.5pt" o:hralign="center" o:hrstd="t" o:hr="t"/>
        </w:pict>
      </w:r>
    </w:p>
    <w:bookmarkEnd w:id="12"/>
    <w:bookmarkStart w:id="13" w:name="拉美经验要求---取消"/>
    <w:p>
      <w:pPr>
        <w:pStyle w:val="Heading3"/>
      </w:pPr>
      <w:r>
        <w:t xml:space="preserve">3. </w:t>
      </w:r>
      <w:r>
        <w:rPr>
          <w:rFonts w:hint="eastAsia"/>
        </w:rPr>
        <w:t xml:space="preserve">拉美经验要求</w:t>
      </w:r>
      <w:r>
        <w:t xml:space="preserve"> - </w:t>
      </w:r>
      <w:r>
        <w:rPr>
          <w:rFonts w:hint="eastAsia"/>
        </w:rPr>
        <w:t xml:space="preserve">取消</w:t>
      </w:r>
      <w:r>
        <w:t xml:space="preserve"> ❌</w:t>
      </w:r>
    </w:p>
    <w:p>
      <w:pPr>
        <w:pStyle w:val="FirstParagraph"/>
      </w:pPr>
      <w:r>
        <w:rPr>
          <w:rFonts w:hint="eastAsia"/>
          <w:b/>
          <w:bCs/>
        </w:rPr>
        <w:t xml:space="preserve">原要求</w:t>
      </w:r>
      <w:r>
        <w:rPr>
          <w:rFonts w:hint="eastAsia"/>
        </w:rPr>
        <w:t xml:space="preserve">：在拉丁美洲有≥50,000盏路灯安装经验</w:t>
      </w:r>
    </w:p>
    <w:p>
      <w:pPr>
        <w:pStyle w:val="BodyText"/>
      </w:pPr>
      <w:r>
        <w:rPr>
          <w:rFonts w:hint="eastAsia"/>
          <w:b/>
          <w:bCs/>
        </w:rPr>
        <w:t xml:space="preserve">新要求</w:t>
      </w:r>
      <w:r>
        <w:rPr>
          <w:rFonts w:hint="eastAsia"/>
        </w:rPr>
        <w:t xml:space="preserve">：同意删除地理限制要求</w:t>
      </w:r>
    </w:p>
    <w:p>
      <w:r>
        <w:pict>
          <v:rect style="width:0;height:1.5pt" o:hralign="center" o:hrstd="t" o:hr="t"/>
        </w:pict>
      </w:r>
    </w:p>
    <w:bookmarkEnd w:id="13"/>
    <w:bookmarkStart w:id="14" w:name="样品要求---调整"/>
    <w:p>
      <w:pPr>
        <w:pStyle w:val="Heading3"/>
      </w:pPr>
      <w:r>
        <w:t xml:space="preserve">4. </w:t>
      </w:r>
      <w:r>
        <w:rPr>
          <w:rFonts w:hint="eastAsia"/>
        </w:rPr>
        <w:t xml:space="preserve">样品要求</w:t>
      </w:r>
      <w:r>
        <w:t xml:space="preserve"> - </w:t>
      </w:r>
      <w:r>
        <w:rPr>
          <w:rFonts w:hint="eastAsia"/>
        </w:rPr>
        <w:t xml:space="preserve">调整</w:t>
      </w:r>
    </w:p>
    <w:p>
      <w:pPr>
        <w:pStyle w:val="FirstParagraph"/>
      </w:pPr>
      <w:r>
        <w:rPr>
          <w:rFonts w:hint="eastAsia"/>
          <w:b/>
          <w:bCs/>
        </w:rPr>
        <w:t xml:space="preserve">原要求</w:t>
      </w:r>
      <w:r>
        <w:rPr>
          <w:rFonts w:hint="eastAsia"/>
        </w:rPr>
        <w:t xml:space="preserve">：投标前提交样品</w:t>
      </w:r>
    </w:p>
    <w:p>
      <w:pPr>
        <w:pStyle w:val="BodyText"/>
      </w:pPr>
      <w:r>
        <w:rPr>
          <w:rFonts w:hint="eastAsia"/>
          <w:b/>
          <w:bCs/>
        </w:rPr>
        <w:t xml:space="preserve">新要求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样品将在</w:t>
      </w:r>
      <w:r>
        <w:rPr>
          <w:rFonts w:hint="eastAsia"/>
          <w:b/>
          <w:bCs/>
        </w:rPr>
        <w:t xml:space="preserve">部分中标后、最终中标前</w:t>
      </w:r>
      <w:r>
        <w:rPr>
          <w:rFonts w:hint="eastAsia"/>
        </w:rPr>
        <w:t xml:space="preserve">提出</w:t>
      </w:r>
      <w:r>
        <w:t xml:space="preserve"> </w:t>
      </w:r>
      <w:r>
        <w:t xml:space="preserve">- </w:t>
      </w:r>
      <w:r>
        <w:rPr>
          <w:rFonts w:hint="eastAsia"/>
        </w:rPr>
        <w:t xml:space="preserve">招标方将明确每标段需提供的样品数量和规格</w:t>
      </w:r>
      <w:r>
        <w:t xml:space="preserve"> </w:t>
      </w:r>
      <w:r>
        <w:t xml:space="preserve">- </w:t>
      </w:r>
      <w:r>
        <w:rPr>
          <w:rFonts w:hint="eastAsia"/>
        </w:rPr>
        <w:t xml:space="preserve">交货期为：</w:t>
      </w:r>
      <w:r>
        <w:rPr>
          <w:rFonts w:hint="eastAsia"/>
          <w:b/>
          <w:bCs/>
        </w:rPr>
        <w:t xml:space="preserve">最终中标后21个日历日内</w:t>
      </w:r>
      <w:r>
        <w:t xml:space="preserve"> </w:t>
      </w:r>
      <w:r>
        <w:t xml:space="preserve">- </w:t>
      </w:r>
      <w:r>
        <w:rPr>
          <w:rFonts w:hint="eastAsia"/>
        </w:rPr>
        <w:t xml:space="preserve">每种功率需提供1个样品</w:t>
      </w:r>
    </w:p>
    <w:p>
      <w:r>
        <w:pict>
          <v:rect style="width:0;height:1.5pt" o:hralign="center" o:hrstd="t" o:hr="t"/>
        </w:pict>
      </w:r>
    </w:p>
    <w:bookmarkEnd w:id="14"/>
    <w:bookmarkStart w:id="15" w:name="nema底座---确认"/>
    <w:p>
      <w:pPr>
        <w:pStyle w:val="Heading3"/>
      </w:pPr>
      <w:r>
        <w:t xml:space="preserve">5. </w:t>
      </w:r>
      <w:r>
        <w:rPr>
          <w:rFonts w:hint="eastAsia"/>
        </w:rPr>
        <w:t xml:space="preserve">NEMA底座</w:t>
      </w:r>
      <w:r>
        <w:t xml:space="preserve"> - </w:t>
      </w:r>
      <w:r>
        <w:rPr>
          <w:rFonts w:hint="eastAsia"/>
        </w:rPr>
        <w:t xml:space="preserve">确认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：所有路灯必须包含</w:t>
      </w:r>
      <w:r>
        <w:rPr>
          <w:rFonts w:hint="eastAsia"/>
          <w:b/>
          <w:bCs/>
        </w:rPr>
        <w:t xml:space="preserve">7针NEMA底座</w:t>
      </w:r>
      <w:r>
        <w:rPr>
          <w:rFonts w:hint="eastAsia"/>
        </w:rPr>
        <w:t xml:space="preserve">（ANSI</w:t>
      </w:r>
      <w:r>
        <w:t xml:space="preserve"> </w:t>
      </w:r>
      <w:r>
        <w:rPr>
          <w:rFonts w:hint="eastAsia"/>
        </w:rPr>
        <w:t xml:space="preserve">C136.41）</w:t>
      </w:r>
    </w:p>
    <w:p>
      <w:pPr>
        <w:pStyle w:val="BodyText"/>
      </w:pPr>
      <w:r>
        <w:rPr>
          <w:rFonts w:hint="eastAsia"/>
          <w:b/>
          <w:bCs/>
        </w:rPr>
        <w:t xml:space="preserve">原因</w:t>
      </w:r>
      <w:r>
        <w:rPr>
          <w:rFonts w:hint="eastAsia"/>
        </w:rPr>
        <w:t xml:space="preserve">：确保与未来远程管理系统的兼容性</w:t>
      </w:r>
    </w:p>
    <w:p>
      <w:r>
        <w:pict>
          <v:rect style="width:0;height:1.5pt" o:hralign="center" o:hrstd="t" o:hr="t"/>
        </w:pict>
      </w:r>
    </w:p>
    <w:bookmarkEnd w:id="15"/>
    <w:bookmarkStart w:id="16" w:name="驱动要求---新增"/>
    <w:p>
      <w:pPr>
        <w:pStyle w:val="Heading3"/>
      </w:pPr>
      <w:r>
        <w:t xml:space="preserve">6. </w:t>
      </w:r>
      <w:r>
        <w:rPr>
          <w:rFonts w:hint="eastAsia"/>
        </w:rPr>
        <w:t xml:space="preserve">驱动要求</w:t>
      </w:r>
      <w:r>
        <w:t xml:space="preserve"> - </w:t>
      </w:r>
      <w:r>
        <w:rPr>
          <w:rFonts w:hint="eastAsia"/>
        </w:rPr>
        <w:t xml:space="preserve">新增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：驱动必须</w:t>
      </w:r>
      <w:r>
        <w:rPr>
          <w:rFonts w:hint="eastAsia"/>
          <w:b/>
          <w:bCs/>
        </w:rPr>
        <w:t xml:space="preserve">可调光</w:t>
      </w:r>
      <w:r>
        <w:rPr>
          <w:rFonts w:hint="eastAsia"/>
        </w:rPr>
        <w:t xml:space="preserve">（0-10V或DALI）</w:t>
      </w:r>
    </w:p>
    <w:p>
      <w:pPr>
        <w:pStyle w:val="BodyText"/>
      </w:pPr>
      <w:r>
        <w:rPr>
          <w:rFonts w:hint="eastAsia"/>
        </w:rPr>
        <w:t xml:space="preserve">此特性将纳入PDGT</w:t>
      </w:r>
    </w:p>
    <w:p>
      <w:r>
        <w:pict>
          <v:rect style="width:0;height:1.5pt" o:hralign="center" o:hrstd="t" o:hr="t"/>
        </w:pict>
      </w:r>
    </w:p>
    <w:bookmarkEnd w:id="16"/>
    <w:bookmarkStart w:id="17" w:name="电池参数"/>
    <w:p>
      <w:pPr>
        <w:pStyle w:val="Heading3"/>
      </w:pPr>
      <w:r>
        <w:t xml:space="preserve">7. </w:t>
      </w:r>
      <w:r>
        <w:rPr>
          <w:rFonts w:hint="eastAsia"/>
        </w:rPr>
        <w:t xml:space="preserve">电池参数</w:t>
      </w:r>
    </w:p>
    <w:p>
      <w:pPr>
        <w:pStyle w:val="FirstParagraph"/>
      </w:pPr>
      <w:r>
        <w:rPr>
          <w:rFonts w:hint="eastAsia"/>
          <w:b/>
          <w:bCs/>
        </w:rPr>
        <w:t xml:space="preserve">保持不变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电池容量：150Wh</w:t>
      </w:r>
      <w:r>
        <w:t xml:space="preserve"> </w:t>
      </w:r>
      <w:r>
        <w:t xml:space="preserve">- </w:t>
      </w:r>
      <w:r>
        <w:rPr>
          <w:rFonts w:hint="eastAsia"/>
        </w:rPr>
        <w:t xml:space="preserve">锂电池要求：SoC（充电状态）、SoH（健康状态）、温度、循环计数</w:t>
      </w:r>
    </w:p>
    <w:p>
      <w:pPr>
        <w:pStyle w:val="BodyText"/>
      </w:pPr>
      <w:r>
        <w:rPr>
          <w:rFonts w:hint="eastAsia"/>
          <w:b/>
          <w:bCs/>
        </w:rPr>
        <w:t xml:space="preserve">无</w:t>
      </w:r>
      <w:r>
        <w:rPr>
          <w:b/>
          <w:bCs/>
        </w:rPr>
        <w:t xml:space="preserve"> autonomy </w:t>
      </w: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：电池将在断电时提供最小照明服务</w:t>
      </w:r>
    </w:p>
    <w:p>
      <w:r>
        <w:pict>
          <v:rect style="width:0;height:1.5pt" o:hralign="center" o:hrstd="t" o:hr="t"/>
        </w:pict>
      </w:r>
    </w:p>
    <w:bookmarkEnd w:id="17"/>
    <w:bookmarkStart w:id="18" w:name="绝缘等级---确认"/>
    <w:p>
      <w:pPr>
        <w:pStyle w:val="Heading3"/>
      </w:pPr>
      <w:r>
        <w:t xml:space="preserve">8. </w:t>
      </w:r>
      <w:r>
        <w:rPr>
          <w:rFonts w:hint="eastAsia"/>
        </w:rPr>
        <w:t xml:space="preserve">绝缘等级</w:t>
      </w:r>
      <w:r>
        <w:t xml:space="preserve"> - </w:t>
      </w:r>
      <w:r>
        <w:rPr>
          <w:rFonts w:hint="eastAsia"/>
        </w:rPr>
        <w:t xml:space="preserve">确认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：路灯必须是</w:t>
      </w:r>
      <w:r>
        <w:rPr>
          <w:b/>
          <w:bCs/>
        </w:rPr>
        <w:t xml:space="preserve">Class II</w:t>
      </w:r>
      <w:r>
        <w:rPr>
          <w:rFonts w:hint="eastAsia"/>
        </w:rPr>
        <w:t xml:space="preserve">（双重绝缘）</w:t>
      </w:r>
    </w:p>
    <w:p>
      <w:r>
        <w:pict>
          <v:rect style="width:0;height:1.5pt" o:hralign="center" o:hrstd="t" o:hr="t"/>
        </w:pict>
      </w:r>
    </w:p>
    <w:bookmarkEnd w:id="18"/>
    <w:bookmarkStart w:id="19" w:name="色温容差---调整"/>
    <w:p>
      <w:pPr>
        <w:pStyle w:val="Heading3"/>
      </w:pPr>
      <w:r>
        <w:t xml:space="preserve">9. </w:t>
      </w:r>
      <w:r>
        <w:rPr>
          <w:rFonts w:hint="eastAsia"/>
        </w:rPr>
        <w:t xml:space="preserve">色温容差</w:t>
      </w:r>
      <w:r>
        <w:t xml:space="preserve"> - </w:t>
      </w:r>
      <w:r>
        <w:rPr>
          <w:rFonts w:hint="eastAsia"/>
        </w:rPr>
        <w:t xml:space="preserve">调整</w:t>
      </w:r>
    </w:p>
    <w:p>
      <w:pPr>
        <w:pStyle w:val="FirstParagraph"/>
      </w:pPr>
      <w:r>
        <w:rPr>
          <w:rFonts w:hint="eastAsia"/>
          <w:b/>
          <w:bCs/>
        </w:rPr>
        <w:t xml:space="preserve">原要求</w:t>
      </w:r>
      <w:r>
        <w:rPr>
          <w:rFonts w:hint="eastAsia"/>
        </w:rPr>
        <w:t xml:space="preserve">：3000K</w:t>
      </w:r>
      <w:r>
        <w:t xml:space="preserve"> ±200K</w:t>
      </w:r>
    </w:p>
    <w:p>
      <w:pPr>
        <w:pStyle w:val="BodyText"/>
      </w:pPr>
      <w:r>
        <w:rPr>
          <w:rFonts w:hint="eastAsia"/>
          <w:b/>
          <w:bCs/>
        </w:rPr>
        <w:t xml:space="preserve">新要求</w:t>
      </w:r>
      <w:r>
        <w:rPr>
          <w:rFonts w:hint="eastAsia"/>
        </w:rPr>
        <w:t xml:space="preserve">：3000K</w:t>
      </w:r>
      <w:r>
        <w:t xml:space="preserve"> </w:t>
      </w:r>
      <w:r>
        <w:rPr>
          <w:b/>
          <w:bCs/>
        </w:rPr>
        <w:t xml:space="preserve">±300K</w:t>
      </w:r>
    </w:p>
    <w:p>
      <w:r>
        <w:pict>
          <v:rect style="width:0;height:1.5pt" o:hralign="center" o:hrstd="t" o:hr="t"/>
        </w:pict>
      </w:r>
    </w:p>
    <w:bookmarkEnd w:id="19"/>
    <w:bookmarkStart w:id="20" w:name="认证要求---明确"/>
    <w:p>
      <w:pPr>
        <w:pStyle w:val="Heading3"/>
      </w:pPr>
      <w:r>
        <w:t xml:space="preserve">10. </w:t>
      </w:r>
      <w:r>
        <w:rPr>
          <w:rFonts w:hint="eastAsia"/>
        </w:rPr>
        <w:t xml:space="preserve">认证要求</w:t>
      </w:r>
      <w:r>
        <w:t xml:space="preserve"> - </w:t>
      </w:r>
      <w:r>
        <w:rPr>
          <w:rFonts w:hint="eastAsia"/>
        </w:rPr>
        <w:t xml:space="preserve">明确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接受情况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UL认证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接受CE作为等价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ANSI标准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接受IEC/EN等效标准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厂商供货经验---调整"/>
    <w:p>
      <w:pPr>
        <w:pStyle w:val="Heading3"/>
      </w:pPr>
      <w:r>
        <w:t xml:space="preserve">11. </w:t>
      </w:r>
      <w:r>
        <w:rPr>
          <w:rFonts w:hint="eastAsia"/>
        </w:rPr>
        <w:t xml:space="preserve">厂商供货经验</w:t>
      </w:r>
      <w:r>
        <w:t xml:space="preserve"> - </w:t>
      </w:r>
      <w:r>
        <w:rPr>
          <w:rFonts w:hint="eastAsia"/>
        </w:rPr>
        <w:t xml:space="preserve">调整</w:t>
      </w:r>
    </w:p>
    <w:p>
      <w:pPr>
        <w:pStyle w:val="FirstParagraph"/>
      </w:pPr>
      <w:r>
        <w:rPr>
          <w:rFonts w:hint="eastAsia"/>
          <w:b/>
          <w:bCs/>
        </w:rPr>
        <w:t xml:space="preserve">原要求</w:t>
      </w:r>
      <w:r>
        <w:rPr>
          <w:rFonts w:hint="eastAsia"/>
        </w:rPr>
        <w:t xml:space="preserve">：&gt;100,000盏路灯</w:t>
      </w:r>
    </w:p>
    <w:p>
      <w:pPr>
        <w:pStyle w:val="BodyText"/>
      </w:pPr>
      <w:r>
        <w:rPr>
          <w:rFonts w:hint="eastAsia"/>
          <w:b/>
          <w:bCs/>
        </w:rPr>
        <w:t xml:space="preserve">新要求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改为：≥100,000盏</w:t>
      </w:r>
      <w:r>
        <w:t xml:space="preserve"> </w:t>
      </w:r>
      <w:r>
        <w:t xml:space="preserve">- </w:t>
      </w:r>
      <w:r>
        <w:rPr>
          <w:rFonts w:hint="eastAsia"/>
        </w:rPr>
        <w:t xml:space="preserve">时间范围：最近</w:t>
      </w:r>
      <w:r>
        <w:rPr>
          <w:rFonts w:hint="eastAsia"/>
          <w:b/>
          <w:bCs/>
        </w:rPr>
        <w:t xml:space="preserve">10年</w:t>
      </w:r>
      <w:r>
        <w:t xml:space="preserve"> </w:t>
      </w:r>
      <w:r>
        <w:t xml:space="preserve">- </w:t>
      </w:r>
      <w:r>
        <w:rPr>
          <w:rFonts w:hint="eastAsia"/>
        </w:rPr>
        <w:t xml:space="preserve">需厂商证明（无需公证）</w:t>
      </w:r>
    </w:p>
    <w:p>
      <w:r>
        <w:pict>
          <v:rect style="width:0;height:1.5pt" o:hralign="center" o:hrstd="t" o:hr="t"/>
        </w:pict>
      </w:r>
    </w:p>
    <w:bookmarkEnd w:id="21"/>
    <w:bookmarkStart w:id="22" w:name="防腐要求"/>
    <w:p>
      <w:pPr>
        <w:pStyle w:val="Heading3"/>
      </w:pPr>
      <w:r>
        <w:t xml:space="preserve">12. </w:t>
      </w:r>
      <w:r>
        <w:rPr>
          <w:rFonts w:hint="eastAsia"/>
        </w:rPr>
        <w:t xml:space="preserve">防腐要求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：C4中等耐久性（ISO</w:t>
      </w:r>
      <w:r>
        <w:t xml:space="preserve"> </w:t>
      </w:r>
      <w:r>
        <w:rPr>
          <w:rFonts w:hint="eastAsia"/>
        </w:rPr>
        <w:t xml:space="preserve">12944-2）</w:t>
      </w:r>
    </w:p>
    <w:p>
      <w:pPr>
        <w:pStyle w:val="BodyText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：ISO</w:t>
      </w:r>
      <w:r>
        <w:t xml:space="preserve"> </w:t>
      </w:r>
      <w:r>
        <w:rPr>
          <w:rFonts w:hint="eastAsia"/>
        </w:rPr>
        <w:t xml:space="preserve">12944-2方法包括ISO</w:t>
      </w:r>
      <w:r>
        <w:t xml:space="preserve"> </w:t>
      </w:r>
      <w:r>
        <w:rPr>
          <w:rFonts w:hint="eastAsia"/>
        </w:rPr>
        <w:t xml:space="preserve">9227和ISO</w:t>
      </w:r>
      <w:r>
        <w:t xml:space="preserve"> </w:t>
      </w:r>
      <w:r>
        <w:rPr>
          <w:rFonts w:hint="eastAsia"/>
        </w:rPr>
        <w:t xml:space="preserve">6270-1，适用于包括铝在内的所有金属</w:t>
      </w:r>
    </w:p>
    <w:p>
      <w:r>
        <w:pict>
          <v:rect style="width:0;height:1.5pt" o:hralign="center" o:hrstd="t" o:hr="t"/>
        </w:pict>
      </w:r>
    </w:p>
    <w:bookmarkEnd w:id="22"/>
    <w:bookmarkStart w:id="23" w:name="振动测试"/>
    <w:p>
      <w:pPr>
        <w:pStyle w:val="Heading3"/>
      </w:pPr>
      <w:r>
        <w:t xml:space="preserve">13. </w:t>
      </w:r>
      <w:r>
        <w:rPr>
          <w:rFonts w:hint="eastAsia"/>
        </w:rPr>
        <w:t xml:space="preserve">振动测试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符合ANSI</w:t>
      </w:r>
      <w:r>
        <w:t xml:space="preserve"> C136.31</w:t>
      </w:r>
      <w:r>
        <w:t xml:space="preserve"> </w:t>
      </w:r>
      <w:r>
        <w:rPr>
          <w:rFonts w:hint="eastAsia"/>
          <w:b/>
          <w:bCs/>
        </w:rPr>
        <w:t xml:space="preserve">3G级</w:t>
      </w:r>
      <w:r>
        <w:rPr>
          <w:rFonts w:hint="eastAsia"/>
        </w:rPr>
        <w:t xml:space="preserve">或等价</w:t>
      </w:r>
      <w:r>
        <w:t xml:space="preserve"> </w:t>
      </w:r>
      <w:r>
        <w:t xml:space="preserve">- </w:t>
      </w:r>
      <w:r>
        <w:rPr>
          <w:rFonts w:hint="eastAsia"/>
        </w:rPr>
        <w:t xml:space="preserve">适用于LED路灯和电池路灯</w:t>
      </w:r>
    </w:p>
    <w:p>
      <w:r>
        <w:pict>
          <v:rect style="width:0;height:1.5pt" o:hralign="center" o:hrstd="t" o:hr="t"/>
        </w:pict>
      </w:r>
    </w:p>
    <w:bookmarkEnd w:id="23"/>
    <w:bookmarkStart w:id="24" w:name="涂层附着力测试"/>
    <w:p>
      <w:pPr>
        <w:pStyle w:val="Heading3"/>
      </w:pPr>
      <w:r>
        <w:t xml:space="preserve">14. </w:t>
      </w:r>
      <w:r>
        <w:rPr>
          <w:rFonts w:hint="eastAsia"/>
        </w:rPr>
        <w:t xml:space="preserve">涂层附着力测试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符合ASTM</w:t>
      </w:r>
      <w:r>
        <w:t xml:space="preserve"> D3359-23</w:t>
      </w:r>
      <w:r>
        <w:t xml:space="preserve"> </w:t>
      </w:r>
      <w:r>
        <w:rPr>
          <w:rFonts w:hint="eastAsia"/>
          <w:b/>
          <w:bCs/>
        </w:rPr>
        <w:t xml:space="preserve">5B级</w:t>
      </w:r>
      <w:r>
        <w:rPr>
          <w:rFonts w:hint="eastAsia"/>
        </w:rPr>
        <w:t xml:space="preserve">或等价</w:t>
      </w:r>
    </w:p>
    <w:p>
      <w:r>
        <w:pict>
          <v:rect style="width:0;height:1.5pt" o:hralign="center" o:hrstd="t" o:hr="t"/>
        </w:pict>
      </w:r>
    </w:p>
    <w:bookmarkEnd w:id="24"/>
    <w:bookmarkStart w:id="25" w:name="保险丝要求"/>
    <w:p>
      <w:pPr>
        <w:pStyle w:val="Heading3"/>
      </w:pPr>
      <w:r>
        <w:t xml:space="preserve">15. </w:t>
      </w:r>
      <w:r>
        <w:rPr>
          <w:rFonts w:hint="eastAsia"/>
        </w:rPr>
        <w:t xml:space="preserve">保险丝要求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：此要求不适用于本招标</w:t>
      </w:r>
    </w:p>
    <w:p>
      <w:r>
        <w:pict>
          <v:rect style="width:0;height:1.5pt" o:hralign="center" o:hrstd="t" o:hr="t"/>
        </w:pict>
      </w:r>
    </w:p>
    <w:bookmarkEnd w:id="25"/>
    <w:bookmarkStart w:id="26" w:name="路灯与安装经验---说明"/>
    <w:p>
      <w:pPr>
        <w:pStyle w:val="Heading3"/>
      </w:pPr>
      <w:r>
        <w:t xml:space="preserve">16. </w:t>
      </w:r>
      <w:r>
        <w:rPr>
          <w:rFonts w:hint="eastAsia"/>
        </w:rPr>
        <w:t xml:space="preserve">路灯与安装经验</w:t>
      </w:r>
      <w:r>
        <w:t xml:space="preserve"> - </w:t>
      </w:r>
      <w:r>
        <w:rPr>
          <w:rFonts w:hint="eastAsia"/>
        </w:rPr>
        <w:t xml:space="preserve">说明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本次招标</w:t>
      </w:r>
      <w:r>
        <w:rPr>
          <w:rFonts w:hint="eastAsia"/>
          <w:b/>
          <w:bCs/>
        </w:rPr>
        <w:t xml:space="preserve">仅包括</w:t>
      </w:r>
      <w:r>
        <w:rPr>
          <w:rFonts w:hint="eastAsia"/>
        </w:rPr>
        <w:t xml:space="preserve">路灯供应和安装，</w:t>
      </w:r>
      <w:r>
        <w:rPr>
          <w:rFonts w:hint="eastAsia"/>
          <w:b/>
          <w:bCs/>
        </w:rPr>
        <w:t xml:space="preserve">不含</w:t>
      </w:r>
      <w:r>
        <w:rPr>
          <w:rFonts w:hint="eastAsia"/>
        </w:rPr>
        <w:t xml:space="preserve">监控系统节点</w:t>
      </w:r>
      <w:r>
        <w:t xml:space="preserve"> </w:t>
      </w:r>
      <w:r>
        <w:t xml:space="preserve">- </w:t>
      </w:r>
      <w:r>
        <w:rPr>
          <w:rFonts w:hint="eastAsia"/>
        </w:rPr>
        <w:t xml:space="preserve">路灯经验可用安装和更换经验（如维护合同中的路灯更换）来证明</w:t>
      </w:r>
    </w:p>
    <w:p>
      <w:r>
        <w:pict>
          <v:rect style="width:0;height:1.5pt" o:hralign="center" o:hrstd="t" o:hr="t"/>
        </w:pict>
      </w:r>
    </w:p>
    <w:bookmarkEnd w:id="26"/>
    <w:bookmarkStart w:id="27" w:name="保证金"/>
    <w:p>
      <w:pPr>
        <w:pStyle w:val="Heading3"/>
      </w:pPr>
      <w:r>
        <w:t xml:space="preserve">18. </w:t>
      </w:r>
      <w:r>
        <w:rPr>
          <w:rFonts w:hint="eastAsia"/>
        </w:rPr>
        <w:t xml:space="preserve">保证金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：保证金为统一金额US$1,164,000（详情咨询行政）</w:t>
      </w:r>
    </w:p>
    <w:p>
      <w:r>
        <w:pict>
          <v:rect style="width:0;height:1.5pt" o:hralign="center" o:hrstd="t" o:hr="t"/>
        </w:pict>
      </w:r>
    </w:p>
    <w:bookmarkEnd w:id="27"/>
    <w:bookmarkStart w:id="28" w:name="付款货币"/>
    <w:p>
      <w:pPr>
        <w:pStyle w:val="Heading3"/>
      </w:pPr>
      <w:r>
        <w:t xml:space="preserve">19. </w:t>
      </w:r>
      <w:r>
        <w:rPr>
          <w:rFonts w:hint="eastAsia"/>
        </w:rPr>
        <w:t xml:space="preserve">付款货币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：行政咨询（详情）</w:t>
      </w:r>
    </w:p>
    <w:p>
      <w:r>
        <w:pict>
          <v:rect style="width:0;height:1.5pt" o:hralign="center" o:hrstd="t" o:hr="t"/>
        </w:pict>
      </w:r>
    </w:p>
    <w:bookmarkEnd w:id="28"/>
    <w:bookmarkStart w:id="29" w:name="价格调整"/>
    <w:p>
      <w:pPr>
        <w:pStyle w:val="Heading3"/>
      </w:pPr>
      <w:r>
        <w:t xml:space="preserve">20. </w:t>
      </w:r>
      <w:r>
        <w:rPr>
          <w:rFonts w:hint="eastAsia"/>
        </w:rPr>
        <w:t xml:space="preserve">价格调整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：行政咨询（详情）</w:t>
      </w:r>
    </w:p>
    <w:p>
      <w:r>
        <w:pict>
          <v:rect style="width:0;height:1.5pt" o:hralign="center" o:hrstd="t" o:hr="t"/>
        </w:pict>
      </w:r>
    </w:p>
    <w:bookmarkEnd w:id="29"/>
    <w:bookmarkStart w:id="30" w:name="截标日期延期"/>
    <w:p>
      <w:pPr>
        <w:pStyle w:val="Heading3"/>
      </w:pPr>
      <w:r>
        <w:t xml:space="preserve">21. </w:t>
      </w:r>
      <w:r>
        <w:rPr>
          <w:rFonts w:hint="eastAsia"/>
        </w:rPr>
        <w:t xml:space="preserve">截标日期延期</w:t>
      </w:r>
    </w:p>
    <w:p>
      <w:pPr>
        <w:pStyle w:val="FirstParagraph"/>
      </w:pPr>
      <w:r>
        <w:rPr>
          <w:rFonts w:hint="eastAsia"/>
          <w:b/>
          <w:bCs/>
        </w:rPr>
        <w:t xml:space="preserve">建议</w:t>
      </w:r>
      <w:r>
        <w:rPr>
          <w:rFonts w:hint="eastAsia"/>
        </w:rPr>
        <w:t xml:space="preserve">：考虑延期提交投标（需项目总协调员批准）</w:t>
      </w:r>
    </w:p>
    <w:p>
      <w:r>
        <w:pict>
          <v:rect style="width:0;height:1.5pt" o:hralign="center" o:hrstd="t" o:hr="t"/>
        </w:pict>
      </w:r>
    </w:p>
    <w:bookmarkEnd w:id="30"/>
    <w:bookmarkStart w:id="31" w:name="路灯杆要求"/>
    <w:p>
      <w:pPr>
        <w:pStyle w:val="Heading3"/>
      </w:pPr>
      <w:r>
        <w:t xml:space="preserve">22. </w:t>
      </w:r>
      <w:r>
        <w:rPr>
          <w:rFonts w:hint="eastAsia"/>
        </w:rPr>
        <w:t xml:space="preserve">路灯杆要求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：符合SIE-004-2023-REG和ANSI</w:t>
      </w:r>
      <w:r>
        <w:t xml:space="preserve"> </w:t>
      </w:r>
      <w:r>
        <w:rPr>
          <w:rFonts w:hint="eastAsia"/>
        </w:rPr>
        <w:t xml:space="preserve">C136.36C标准</w:t>
      </w:r>
    </w:p>
    <w:p>
      <w:r>
        <w:pict>
          <v:rect style="width:0;height:1.5pt" o:hralign="center" o:hrstd="t" o:hr="t"/>
        </w:pict>
      </w:r>
    </w:p>
    <w:bookmarkEnd w:id="31"/>
    <w:bookmarkStart w:id="32" w:name="灯具ip等级"/>
    <w:p>
      <w:pPr>
        <w:pStyle w:val="Heading3"/>
      </w:pPr>
      <w:r>
        <w:t xml:space="preserve">23. </w:t>
      </w:r>
      <w:r>
        <w:rPr>
          <w:rFonts w:hint="eastAsia"/>
        </w:rPr>
        <w:t xml:space="preserve">灯具IP等级</w:t>
      </w:r>
    </w:p>
    <w:p>
      <w:pPr>
        <w:pStyle w:val="FirstParagraph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：满足招标文件规定的最低要求，任何改进都会正面评估</w:t>
      </w:r>
    </w:p>
    <w:p>
      <w:r>
        <w:pict>
          <v:rect style="width:0;height:1.5pt" o:hralign="center" o:hrstd="t" o:hr="t"/>
        </w:pict>
      </w:r>
    </w:p>
    <w:bookmarkEnd w:id="32"/>
    <w:bookmarkStart w:id="33" w:name="接地系统"/>
    <w:p>
      <w:pPr>
        <w:pStyle w:val="Heading3"/>
      </w:pPr>
      <w:r>
        <w:t xml:space="preserve">24. </w:t>
      </w:r>
      <w:r>
        <w:rPr>
          <w:rFonts w:hint="eastAsia"/>
        </w:rPr>
        <w:t xml:space="preserve">接地系统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：必须是Class</w:t>
      </w:r>
      <w:r>
        <w:t xml:space="preserve"> </w:t>
      </w:r>
      <w:r>
        <w:rPr>
          <w:rFonts w:hint="eastAsia"/>
        </w:rPr>
        <w:t xml:space="preserve">II，</w:t>
      </w:r>
      <w:r>
        <w:rPr>
          <w:rFonts w:hint="eastAsia"/>
          <w:b/>
          <w:bCs/>
        </w:rPr>
        <w:t xml:space="preserve">不需要</w:t>
      </w:r>
      <w:r>
        <w:rPr>
          <w:rFonts w:hint="eastAsia"/>
        </w:rPr>
        <w:t xml:space="preserve">单独接地系统</w:t>
      </w:r>
    </w:p>
    <w:p>
      <w:r>
        <w:pict>
          <v:rect style="width:0;height:1.5pt" o:hralign="center" o:hrstd="t" o:hr="t"/>
        </w:pict>
      </w:r>
    </w:p>
    <w:bookmarkEnd w:id="33"/>
    <w:bookmarkStart w:id="34" w:name="技术文件语言"/>
    <w:p>
      <w:pPr>
        <w:pStyle w:val="Heading3"/>
      </w:pPr>
      <w:r>
        <w:t xml:space="preserve">25. </w:t>
      </w:r>
      <w:r>
        <w:rPr>
          <w:rFonts w:hint="eastAsia"/>
        </w:rPr>
        <w:t xml:space="preserve">技术文件语言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：西班牙语，或官方翻译</w:t>
      </w:r>
    </w:p>
    <w:p>
      <w:r>
        <w:pict>
          <v:rect style="width:0;height:1.5pt" o:hralign="center" o:hrstd="t" o:hr="t"/>
        </w:pict>
      </w:r>
    </w:p>
    <w:bookmarkEnd w:id="34"/>
    <w:bookmarkStart w:id="35" w:name="路灯数量要求"/>
    <w:p>
      <w:pPr>
        <w:pStyle w:val="Heading3"/>
      </w:pPr>
      <w:r>
        <w:t xml:space="preserve">26. </w:t>
      </w:r>
      <w:r>
        <w:rPr>
          <w:rFonts w:hint="eastAsia"/>
        </w:rPr>
        <w:t xml:space="preserve">路灯数量要求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路灯数量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EDESUR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100个路段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EDENORTE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100个路段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EDEESTE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110个路段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5"/>
    <w:bookmarkStart w:id="36" w:name="样品测试报告"/>
    <w:p>
      <w:pPr>
        <w:pStyle w:val="Heading3"/>
      </w:pPr>
      <w:r>
        <w:t xml:space="preserve">27. </w:t>
      </w:r>
      <w:r>
        <w:rPr>
          <w:rFonts w:hint="eastAsia"/>
        </w:rPr>
        <w:t xml:space="preserve">样品测试报告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锂电池路灯：需包含</w:t>
      </w:r>
      <w:r>
        <w:rPr>
          <w:rFonts w:hint="eastAsia"/>
          <w:b/>
          <w:bCs/>
        </w:rPr>
        <w:t xml:space="preserve">放电模式</w:t>
      </w:r>
      <w:r>
        <w:t xml:space="preserve"> </w:t>
      </w:r>
      <w:r>
        <w:rPr>
          <w:rFonts w:hint="eastAsia"/>
        </w:rPr>
        <w:t xml:space="preserve">photometric测试报告（IEC</w:t>
      </w:r>
      <w:r>
        <w:t xml:space="preserve"> </w:t>
      </w:r>
      <w:r>
        <w:rPr>
          <w:rFonts w:hint="eastAsia"/>
        </w:rPr>
        <w:t xml:space="preserve">60598-2-22）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电池测试：UN</w:t>
      </w:r>
      <w:r>
        <w:t xml:space="preserve"> </w:t>
      </w:r>
      <w:r>
        <w:rPr>
          <w:rFonts w:hint="eastAsia"/>
        </w:rPr>
        <w:t xml:space="preserve">38.3（锂电池运输）</w:t>
      </w:r>
    </w:p>
    <w:p>
      <w:r>
        <w:pict>
          <v:rect style="width:0;height:1.5pt" o:hralign="center" o:hrstd="t" o:hr="t"/>
        </w:pict>
      </w:r>
    </w:p>
    <w:bookmarkEnd w:id="36"/>
    <w:bookmarkStart w:id="37" w:name="光源认证状态"/>
    <w:p>
      <w:pPr>
        <w:pStyle w:val="Heading3"/>
      </w:pPr>
      <w:r>
        <w:t xml:space="preserve">28. </w:t>
      </w:r>
      <w:r>
        <w:rPr>
          <w:rFonts w:hint="eastAsia"/>
        </w:rPr>
        <w:t xml:space="preserve">光源认证状态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：所使用的LED不能处于</w:t>
      </w:r>
      <w:r>
        <w:rPr>
          <w:b/>
          <w:bCs/>
        </w:rPr>
        <w:t xml:space="preserve">EOL</w:t>
      </w:r>
      <w:r>
        <w:rPr>
          <w:rFonts w:hint="eastAsia"/>
        </w:rPr>
        <w:t xml:space="preserve">（停产）或</w:t>
      </w:r>
      <w:r>
        <w:rPr>
          <w:b/>
          <w:bCs/>
        </w:rPr>
        <w:t xml:space="preserve">NRND</w:t>
      </w:r>
      <w:r>
        <w:rPr>
          <w:rFonts w:hint="eastAsia"/>
        </w:rPr>
        <w:t xml:space="preserve">（不推荐新设计）状态</w:t>
      </w:r>
    </w:p>
    <w:p>
      <w:r>
        <w:pict>
          <v:rect style="width:0;height:1.5pt" o:hralign="center" o:hrstd="t" o:hr="t"/>
        </w:pict>
      </w:r>
    </w:p>
    <w:bookmarkEnd w:id="37"/>
    <w:bookmarkStart w:id="38" w:name="电缆敷设数量修正"/>
    <w:p>
      <w:pPr>
        <w:pStyle w:val="Heading3"/>
      </w:pPr>
      <w:r>
        <w:t xml:space="preserve">29. </w:t>
      </w:r>
      <w:r>
        <w:rPr>
          <w:rFonts w:hint="eastAsia"/>
        </w:rPr>
        <w:t xml:space="preserve">电缆敷设数量修正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电缆更换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电缆适配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LOTE2</w:t>
            </w:r>
          </w:p>
        </w:tc>
        <w:tc>
          <w:tcPr/>
          <w:p>
            <w:pPr>
              <w:pStyle w:val="Compact"/>
            </w:pPr>
            <w:r>
              <w:t xml:space="preserve">30,430m</w:t>
            </w:r>
          </w:p>
        </w:tc>
        <w:tc>
          <w:tcPr/>
          <w:p>
            <w:pPr>
              <w:pStyle w:val="Compact"/>
            </w:pPr>
            <w:r>
              <w:t xml:space="preserve">317,320m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LOTE3</w:t>
            </w:r>
          </w:p>
        </w:tc>
        <w:tc>
          <w:tcPr/>
          <w:p>
            <w:pPr>
              <w:pStyle w:val="Compact"/>
            </w:pPr>
            <w:r>
              <w:t xml:space="preserve">142,035m</w:t>
            </w:r>
          </w:p>
        </w:tc>
        <w:tc>
          <w:tcPr/>
          <w:p>
            <w:pPr>
              <w:pStyle w:val="Compact"/>
            </w:pPr>
            <w:r>
              <w:t xml:space="preserve">129,433m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（表格与段落数值颠倒的问题已修正）</w:t>
      </w:r>
    </w:p>
    <w:p>
      <w:r>
        <w:pict>
          <v:rect style="width:0;height:1.5pt" o:hralign="center" o:hrstd="t" o:hr="t"/>
        </w:pict>
      </w:r>
    </w:p>
    <w:bookmarkEnd w:id="38"/>
    <w:bookmarkStart w:id="39" w:name="技术最小得分---说明"/>
    <w:p>
      <w:pPr>
        <w:pStyle w:val="Heading3"/>
      </w:pPr>
      <w:r>
        <w:t xml:space="preserve">30. </w:t>
      </w:r>
      <w:r>
        <w:rPr>
          <w:rFonts w:hint="eastAsia"/>
        </w:rPr>
        <w:t xml:space="preserve">技术最小得分</w:t>
      </w:r>
      <w:r>
        <w:t xml:space="preserve"> - </w:t>
      </w:r>
      <w:r>
        <w:rPr>
          <w:rFonts w:hint="eastAsia"/>
        </w:rPr>
        <w:t xml:space="preserve">说明</w:t>
      </w:r>
    </w:p>
    <w:p>
      <w:pPr>
        <w:pStyle w:val="FirstParagraph"/>
      </w:pPr>
      <w:r>
        <w:rPr>
          <w:rFonts w:hint="eastAsia"/>
          <w:b/>
          <w:bCs/>
        </w:rPr>
        <w:t xml:space="preserve">要求</w:t>
      </w:r>
      <w:r>
        <w:rPr>
          <w:rFonts w:hint="eastAsia"/>
        </w:rPr>
        <w:t xml:space="preserve">：80%（32/40分）</w:t>
      </w:r>
    </w:p>
    <w:p>
      <w:pPr>
        <w:pStyle w:val="BodyText"/>
      </w:pPr>
      <w:r>
        <w:rPr>
          <w:rFonts w:hint="eastAsia"/>
          <w:b/>
          <w:bCs/>
        </w:rPr>
        <w:t xml:space="preserve">建议</w:t>
      </w:r>
      <w:r>
        <w:rPr>
          <w:rFonts w:hint="eastAsia"/>
        </w:rPr>
        <w:t xml:space="preserve">：可降至70%（28/40分）以符合BID标准</w:t>
      </w:r>
    </w:p>
    <w:p>
      <w:r>
        <w:pict>
          <v:rect style="width:0;height:1.5pt" o:hralign="center" o:hrstd="t" o:hr="t"/>
        </w:pict>
      </w:r>
    </w:p>
    <w:bookmarkEnd w:id="39"/>
    <w:bookmarkStart w:id="40" w:name="财务能力要求---行政咨询"/>
    <w:p>
      <w:pPr>
        <w:pStyle w:val="Heading3"/>
      </w:pPr>
      <w:r>
        <w:t xml:space="preserve">31. </w:t>
      </w:r>
      <w:r>
        <w:rPr>
          <w:rFonts w:hint="eastAsia"/>
        </w:rPr>
        <w:t xml:space="preserve">财务能力要求</w:t>
      </w:r>
      <w:r>
        <w:t xml:space="preserve"> - </w:t>
      </w:r>
      <w:r>
        <w:rPr>
          <w:rFonts w:hint="eastAsia"/>
        </w:rPr>
        <w:t xml:space="preserve">行政咨询</w:t>
      </w:r>
    </w:p>
    <w:p>
      <w:pPr>
        <w:pStyle w:val="FirstParagraph"/>
      </w:pPr>
      <w:r>
        <w:rPr>
          <w:rFonts w:hint="eastAsia"/>
        </w:rPr>
        <w:t xml:space="preserve">详细信息待行政专家确认</w:t>
      </w:r>
    </w:p>
    <w:p>
      <w:r>
        <w:pict>
          <v:rect style="width:0;height:1.5pt" o:hralign="center" o:hrstd="t" o:hr="t"/>
        </w:pict>
      </w:r>
    </w:p>
    <w:bookmarkEnd w:id="40"/>
    <w:bookmarkStart w:id="41" w:name="经验要求说明"/>
    <w:p>
      <w:pPr>
        <w:pStyle w:val="Heading3"/>
      </w:pPr>
      <w:r>
        <w:t xml:space="preserve">32. </w:t>
      </w:r>
      <w:r>
        <w:rPr>
          <w:rFonts w:hint="eastAsia"/>
        </w:rPr>
        <w:t xml:space="preserve">经验要求说明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250,000盏路灯要求适用于</w:t>
      </w:r>
      <w:r>
        <w:rPr>
          <w:rFonts w:hint="eastAsia"/>
          <w:b/>
          <w:bCs/>
        </w:rPr>
        <w:t xml:space="preserve">每标段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拉丁美洲经验要求已删除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可接受多个项目累计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维护合同中的路灯更换可计入</w:t>
      </w:r>
    </w:p>
    <w:p>
      <w:r>
        <w:pict>
          <v:rect style="width:0;height:1.5pt" o:hralign="center" o:hrstd="t" o:hr="t"/>
        </w:pict>
      </w:r>
    </w:p>
    <w:bookmarkEnd w:id="41"/>
    <w:bookmarkStart w:id="42" w:name="延期提交建议"/>
    <w:p>
      <w:pPr>
        <w:pStyle w:val="Heading3"/>
      </w:pPr>
      <w:r>
        <w:t xml:space="preserve">33. </w:t>
      </w:r>
      <w:r>
        <w:rPr>
          <w:rFonts w:hint="eastAsia"/>
        </w:rPr>
        <w:t xml:space="preserve">延期提交建议</w:t>
      </w:r>
    </w:p>
    <w:p>
      <w:pPr>
        <w:pStyle w:val="FirstParagraph"/>
      </w:pPr>
      <w:r>
        <w:rPr>
          <w:rFonts w:hint="eastAsia"/>
          <w:b/>
          <w:bCs/>
        </w:rPr>
        <w:t xml:space="preserve">建议</w:t>
      </w:r>
      <w:r>
        <w:rPr>
          <w:rFonts w:hint="eastAsia"/>
        </w:rPr>
        <w:t xml:space="preserve">：考虑将截标日期延后（正在评估）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评审标准说明"/>
    <w:p>
      <w:pPr>
        <w:pStyle w:val="Heading2"/>
      </w:pPr>
      <w:r>
        <w:rPr>
          <w:rFonts w:hint="eastAsia"/>
        </w:rPr>
        <w:t xml:space="preserve">评审标准说明</w:t>
      </w:r>
    </w:p>
    <w:bookmarkStart w:id="44" w:name="经验评分"/>
    <w:p>
      <w:pPr>
        <w:pStyle w:val="Heading3"/>
      </w:pPr>
      <w:r>
        <w:rPr>
          <w:rFonts w:hint="eastAsia"/>
        </w:rPr>
        <w:t xml:space="preserve">经验评分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拉丁美洲项目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其他地区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&gt;500,000盏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&gt;500,000盏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6分</w:t>
            </w:r>
          </w:p>
        </w:tc>
        <w:tc>
          <w:tcPr/>
          <w:p>
            <w:pPr>
              <w:pStyle w:val="Compact"/>
            </w:pPr>
            <w:r>
              <w:t xml:space="preserve">&gt;350,000-500,000</w:t>
            </w:r>
          </w:p>
        </w:tc>
        <w:tc>
          <w:tcPr/>
          <w:p>
            <w:pPr>
              <w:pStyle w:val="Compact"/>
            </w:pPr>
            <w:r>
              <w:t xml:space="preserve">&gt;350,000-500,000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4分</w:t>
            </w:r>
          </w:p>
        </w:tc>
        <w:tc>
          <w:tcPr/>
          <w:p>
            <w:pPr>
              <w:pStyle w:val="Compact"/>
            </w:pPr>
            <w:r>
              <w:t xml:space="preserve">&gt;250,000-350,000</w:t>
            </w:r>
          </w:p>
        </w:tc>
        <w:tc>
          <w:tcPr/>
          <w:p>
            <w:pPr>
              <w:pStyle w:val="Compact"/>
            </w:pPr>
            <w:r>
              <w:t xml:space="preserve">&gt;250,000-350,000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2分</w:t>
            </w:r>
          </w:p>
        </w:tc>
        <w:tc>
          <w:tcPr/>
          <w:p>
            <w:pPr>
              <w:pStyle w:val="Compact"/>
            </w:pPr>
            <w:r>
              <w:t xml:space="preserve">=250,000</w:t>
            </w:r>
          </w:p>
        </w:tc>
        <w:tc>
          <w:tcPr/>
          <w:p>
            <w:pPr>
              <w:pStyle w:val="Compact"/>
            </w:pPr>
            <w:r>
              <w:t xml:space="preserve">=250,000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加分</w:t>
            </w:r>
          </w:p>
        </w:tc>
        <w:tc>
          <w:tcPr/>
          <w:p>
            <w:pPr>
              <w:pStyle w:val="Compact"/>
            </w:pPr>
            <w:r>
              <w:t xml:space="preserve">&gt;100,000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</w:tbl>
    <w:bookmarkEnd w:id="44"/>
    <w:bookmarkStart w:id="45" w:name="fdl路灯性能因子"/>
    <w:p>
      <w:pPr>
        <w:pStyle w:val="Heading3"/>
      </w:pPr>
      <w:r>
        <w:rPr>
          <w:rFonts w:hint="eastAsia"/>
        </w:rPr>
        <w:t xml:space="preserve">FDL（路灯性能因子）</w:t>
      </w:r>
    </w:p>
    <w:p>
      <w:pPr>
        <w:pStyle w:val="Compact"/>
        <w:numPr>
          <w:ilvl w:val="0"/>
          <w:numId w:val="1003"/>
        </w:numPr>
      </w:pPr>
      <w:r>
        <w:t xml:space="preserve">30W: 0.14</w:t>
      </w:r>
    </w:p>
    <w:p>
      <w:pPr>
        <w:pStyle w:val="Compact"/>
        <w:numPr>
          <w:ilvl w:val="0"/>
          <w:numId w:val="1003"/>
        </w:numPr>
      </w:pPr>
      <w:r>
        <w:t xml:space="preserve">40W: 0.13</w:t>
      </w:r>
    </w:p>
    <w:p>
      <w:pPr>
        <w:pStyle w:val="Compact"/>
        <w:numPr>
          <w:ilvl w:val="0"/>
          <w:numId w:val="1003"/>
        </w:numPr>
      </w:pPr>
      <w:r>
        <w:t xml:space="preserve">50W: 0.25</w:t>
      </w:r>
    </w:p>
    <w:p>
      <w:pPr>
        <w:pStyle w:val="Compact"/>
        <w:numPr>
          <w:ilvl w:val="0"/>
          <w:numId w:val="1003"/>
        </w:numPr>
      </w:pPr>
      <w:r>
        <w:t xml:space="preserve">60W: 0.32</w:t>
      </w:r>
    </w:p>
    <w:p>
      <w:pPr>
        <w:pStyle w:val="Compact"/>
        <w:numPr>
          <w:ilvl w:val="0"/>
          <w:numId w:val="1003"/>
        </w:numPr>
      </w:pPr>
      <w:r>
        <w:t xml:space="preserve">70W: 0.16</w:t>
      </w:r>
    </w:p>
    <w:p>
      <w:pPr>
        <w:pStyle w:val="Compact"/>
        <w:numPr>
          <w:ilvl w:val="0"/>
          <w:numId w:val="1003"/>
        </w:numPr>
      </w:pPr>
      <w:r>
        <w:t xml:space="preserve">80-240W: </w:t>
      </w:r>
      <w:r>
        <w:rPr>
          <w:rFonts w:hint="eastAsia"/>
        </w:rPr>
        <w:t xml:space="preserve">按实际</w:t>
      </w:r>
      <w:r>
        <w:t xml:space="preserve"> universo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安装工期"/>
    <w:p>
      <w:pPr>
        <w:pStyle w:val="Heading2"/>
      </w:pPr>
      <w:r>
        <w:rPr>
          <w:rFonts w:hint="eastAsia"/>
        </w:rPr>
        <w:t xml:space="preserve">安装工期</w:t>
      </w:r>
    </w:p>
    <w:p>
      <w:pPr>
        <w:pStyle w:val="FirstParagraph"/>
      </w:pPr>
      <w:r>
        <w:rPr>
          <w:rFonts w:hint="eastAsia"/>
          <w:b/>
          <w:bCs/>
        </w:rPr>
        <w:t xml:space="preserve">工期</w:t>
      </w:r>
      <w:r>
        <w:rPr>
          <w:rFonts w:hint="eastAsia"/>
        </w:rPr>
        <w:t xml:space="preserve">：每标段</w:t>
      </w:r>
      <w:r>
        <w:rPr>
          <w:rFonts w:hint="eastAsia"/>
          <w:b/>
          <w:bCs/>
        </w:rPr>
        <w:t xml:space="preserve">18个月</w:t>
      </w:r>
    </w:p>
    <w:p>
      <w:pPr>
        <w:pStyle w:val="BodyText"/>
      </w:pPr>
      <w:r>
        <w:rPr>
          <w:rFonts w:hint="eastAsia"/>
          <w:b/>
          <w:bCs/>
        </w:rPr>
        <w:t xml:space="preserve">建议</w:t>
      </w:r>
      <w:r>
        <w:rPr>
          <w:rFonts w:hint="eastAsia"/>
        </w:rPr>
        <w:t xml:space="preserve">：延长至24个月（正在评估）</w:t>
      </w:r>
    </w:p>
    <w:p>
      <w:r>
        <w:pict>
          <v:rect style="width:0;height:1.5pt" o:hralign="center" o:hrstd="t" o:hr="t"/>
        </w:pict>
      </w:r>
    </w:p>
    <w:bookmarkEnd w:id="47"/>
    <w:bookmarkStart w:id="52" w:name="安全与协调"/>
    <w:p>
      <w:pPr>
        <w:pStyle w:val="Heading2"/>
      </w:pPr>
      <w:r>
        <w:rPr>
          <w:rFonts w:hint="eastAsia"/>
        </w:rPr>
        <w:t xml:space="preserve">安全与协调</w:t>
      </w:r>
    </w:p>
    <w:bookmarkStart w:id="48" w:name="工作时间"/>
    <w:p>
      <w:pPr>
        <w:pStyle w:val="Heading3"/>
      </w:pPr>
      <w:r>
        <w:rPr>
          <w:rFonts w:hint="eastAsia"/>
        </w:rPr>
        <w:t xml:space="preserve">工作时间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周一至周五：标准40小时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周六：半天</w:t>
      </w:r>
    </w:p>
    <w:bookmarkEnd w:id="48"/>
    <w:bookmarkStart w:id="49" w:name="断电申请"/>
    <w:p>
      <w:pPr>
        <w:pStyle w:val="Heading3"/>
      </w:pPr>
      <w:r>
        <w:rPr>
          <w:rFonts w:hint="eastAsia"/>
        </w:rPr>
        <w:t xml:space="preserve">断电申请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至少</w:t>
      </w:r>
      <w:r>
        <w:rPr>
          <w:rFonts w:hint="eastAsia"/>
          <w:b/>
          <w:bCs/>
        </w:rPr>
        <w:t xml:space="preserve">15个日历日</w:t>
      </w:r>
      <w:r>
        <w:rPr>
          <w:rFonts w:hint="eastAsia"/>
        </w:rPr>
        <w:t xml:space="preserve">前向EDE提交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EDE与UEP协调评估</w:t>
      </w:r>
    </w:p>
    <w:bookmarkEnd w:id="49"/>
    <w:bookmarkStart w:id="50" w:name="交通管理"/>
    <w:p>
      <w:pPr>
        <w:pStyle w:val="Heading3"/>
      </w:pPr>
      <w:r>
        <w:rPr>
          <w:rFonts w:hint="eastAsia"/>
        </w:rPr>
        <w:t xml:space="preserve">交通管理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承包商负责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与DIGESETT协调</w:t>
      </w:r>
    </w:p>
    <w:bookmarkEnd w:id="50"/>
    <w:bookmarkStart w:id="51" w:name="许可与市政工程"/>
    <w:p>
      <w:pPr>
        <w:pStyle w:val="Heading3"/>
      </w:pPr>
      <w:r>
        <w:rPr>
          <w:rFonts w:hint="eastAsia"/>
        </w:rPr>
        <w:t xml:space="preserve">许可与市政工程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承包商负责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按当地法规执行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3" w:name="关键技术参数"/>
    <w:p>
      <w:pPr>
        <w:pStyle w:val="Heading2"/>
      </w:pPr>
      <w:r>
        <w:rPr>
          <w:rFonts w:hint="eastAsia"/>
        </w:rPr>
        <w:t xml:space="preserve">关键技术参数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发光效率</w:t>
            </w:r>
          </w:p>
        </w:tc>
        <w:tc>
          <w:tcPr/>
          <w:p>
            <w:pPr>
              <w:pStyle w:val="Compact"/>
            </w:pPr>
            <w:r>
              <w:t xml:space="preserve">≥150 lm/W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色温</w:t>
            </w:r>
          </w:p>
        </w:tc>
        <w:tc>
          <w:tcPr/>
          <w:p>
            <w:pPr>
              <w:pStyle w:val="Compact"/>
            </w:pPr>
            <w:r>
              <w:t xml:space="preserve">3000K ±300K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IP等级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按PDGT最低要求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绝缘等级</w:t>
            </w:r>
          </w:p>
        </w:tc>
        <w:tc>
          <w:tcPr/>
          <w:p>
            <w:pPr>
              <w:pStyle w:val="Compact"/>
            </w:pPr>
            <w:r>
              <w:t xml:space="preserve">Class II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NEMA底座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C4中等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振动</w:t>
            </w:r>
          </w:p>
        </w:tc>
        <w:tc>
          <w:tcPr/>
          <w:p>
            <w:pPr>
              <w:pStyle w:val="Compact"/>
            </w:pPr>
            <w:r>
              <w:t xml:space="preserve">ANSI C136.31 </w:t>
            </w:r>
            <w:r>
              <w:rPr>
                <w:rFonts w:hint="eastAsia"/>
              </w:rPr>
              <w:t xml:space="preserve">3G级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附着力</w:t>
            </w:r>
          </w:p>
        </w:tc>
        <w:tc>
          <w:tcPr/>
          <w:p>
            <w:pPr>
              <w:pStyle w:val="Compact"/>
            </w:pPr>
            <w:r>
              <w:t xml:space="preserve">ASTM D3359-23 </w:t>
            </w:r>
            <w:r>
              <w:rPr>
                <w:rFonts w:hint="eastAsia"/>
              </w:rPr>
              <w:t xml:space="preserve">5B级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倾斜角度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按PDGT要求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可调光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3"/>
    <w:bookmarkStart w:id="54" w:name="最终结论"/>
    <w:p>
      <w:pPr>
        <w:pStyle w:val="Heading2"/>
      </w:pPr>
      <w:r>
        <w:rPr>
          <w:rFonts w:hint="eastAsia"/>
        </w:rPr>
        <w:t xml:space="preserve">最终结论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本澄清文件具有说明性质，不修改招标文件内容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如澄清内容涉及必须调整的修改，将通过正式修正文件处理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如本文件与招标文件存在冲突，以招标文件为准（除非有正式修正文件）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文件发布日期</w:t>
      </w:r>
      <w:r>
        <w:rPr>
          <w:rFonts w:hint="eastAsia"/>
        </w:rPr>
        <w:t xml:space="preserve">：2026年5月2日</w:t>
      </w:r>
      <w:r>
        <w:t xml:space="preserve"> </w:t>
      </w:r>
      <w:r>
        <w:rPr>
          <w:rFonts w:hint="eastAsia"/>
          <w:b/>
          <w:bCs/>
        </w:rPr>
        <w:t xml:space="preserve">发布单位</w:t>
      </w:r>
      <w:r>
        <w:rPr>
          <w:rFonts w:hint="eastAsia"/>
        </w:rPr>
        <w:t xml:space="preserve">：采购委员会（Auditesa）</w:t>
      </w:r>
      <w:r>
        <w:t xml:space="preserve"> </w:t>
      </w:r>
      <w:r>
        <w:rPr>
          <w:rFonts w:hint="eastAsia"/>
          <w:b/>
          <w:bCs/>
        </w:rPr>
        <w:t xml:space="preserve">项目协调</w:t>
      </w:r>
      <w:r>
        <w:rPr>
          <w:rFonts w:hint="eastAsia"/>
        </w:rPr>
        <w:t xml:space="preserve">：UEP</w:t>
      </w:r>
      <w:r>
        <w:t xml:space="preserve"> (Unidad Ejecutora de Proyectos)</w:t>
      </w:r>
    </w:p>
    <w:bookmarkEnd w:id="54"/>
    <w:bookmarkEnd w:id="5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2026-05-08T23:32:17Z</dcterms:created>
  <dcterms:modified xsi:type="dcterms:W3CDTF">2026-05-08T23:32:17Z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