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招标质疑答复行政决定书"/>
    <w:p>
      <w:pPr>
        <w:pStyle w:val="Heading1"/>
      </w:pPr>
      <w:r>
        <w:rPr>
          <w:rFonts w:hint="eastAsia"/>
        </w:rPr>
        <w:t xml:space="preserve">招标质疑答复行政决定书</w:t>
      </w:r>
    </w:p>
    <w:bookmarkStart w:id="9" w:name="基本信息"/>
    <w:p>
      <w:pPr>
        <w:pStyle w:val="Heading2"/>
      </w:pPr>
      <w:r>
        <w:rPr>
          <w:rFonts w:hint="eastAsia"/>
        </w:rPr>
        <w:t xml:space="preserve">基本信息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文件编号</w:t>
            </w:r>
          </w:p>
        </w:tc>
        <w:tc>
          <w:tcPr/>
          <w:p>
            <w:pPr>
              <w:pStyle w:val="Compact"/>
            </w:pPr>
            <w:r>
              <w:t xml:space="preserve">AA-LPN-RI-O1-2026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招标编号</w:t>
            </w:r>
          </w:p>
        </w:tc>
        <w:tc>
          <w:tcPr/>
          <w:p>
            <w:pPr>
              <w:pStyle w:val="Compact"/>
            </w:pPr>
            <w:r>
              <w:t xml:space="preserve">EDEESTE-CCC-LPN-2025-0019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为工业客户、普通客户和微计量客户采购移动网络技术电表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招标方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东配电公司（EDEESTE）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质疑方</w:t>
            </w:r>
          </w:p>
        </w:tc>
        <w:tc>
          <w:tcPr/>
          <w:p>
            <w:pPr>
              <w:pStyle w:val="Compact"/>
            </w:pPr>
            <w:r>
              <w:t xml:space="preserve">KEIKO ACC </w:t>
            </w:r>
            <w:r>
              <w:rPr>
                <w:rFonts w:hint="eastAsia"/>
              </w:rPr>
              <w:t xml:space="preserve">联合体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质疑日期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2026年1月29日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决定日期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2026年2月18日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一委员会构成"/>
    <w:p>
      <w:pPr>
        <w:pStyle w:val="Heading2"/>
      </w:pPr>
      <w:r>
        <w:rPr>
          <w:rFonts w:hint="eastAsia"/>
        </w:rPr>
        <w:t xml:space="preserve">一、委员会构成</w:t>
      </w:r>
    </w:p>
    <w:p>
      <w:pPr>
        <w:pStyle w:val="FirstParagraph"/>
      </w:pPr>
      <w:r>
        <w:rPr>
          <w:rFonts w:hint="eastAsia"/>
        </w:rPr>
        <w:t xml:space="preserve">采购和合同委员会由以下成员组成：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主席</w:t>
      </w:r>
      <w:r>
        <w:rPr>
          <w:rFonts w:hint="eastAsia"/>
        </w:rPr>
        <w:t xml:space="preserve">：Emilio</w:t>
      </w:r>
      <w:r>
        <w:t xml:space="preserve"> </w:t>
      </w:r>
      <w:r>
        <w:rPr>
          <w:rFonts w:hint="eastAsia"/>
        </w:rPr>
        <w:t xml:space="preserve">Contreras（EDEESTE总经理）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成员</w:t>
      </w:r>
      <w:r>
        <w:rPr>
          <w:rFonts w:hint="eastAsia"/>
        </w:rPr>
        <w:t xml:space="preserve">：Chaimy</w:t>
      </w:r>
      <w:r>
        <w:t xml:space="preserve"> Ramírez </w:t>
      </w:r>
      <w:r>
        <w:rPr>
          <w:rFonts w:hint="eastAsia"/>
        </w:rPr>
        <w:t xml:space="preserve">Mejía（法律总监兼法律顾问）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成员</w:t>
      </w:r>
      <w:r>
        <w:rPr>
          <w:rFonts w:hint="eastAsia"/>
        </w:rPr>
        <w:t xml:space="preserve">：Juan</w:t>
      </w:r>
      <w:r>
        <w:t xml:space="preserve"> Alberto Lora </w:t>
      </w:r>
      <w:r>
        <w:rPr>
          <w:rFonts w:hint="eastAsia"/>
        </w:rPr>
        <w:t xml:space="preserve">Troncoso（财务总监）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成员</w:t>
      </w:r>
      <w:r>
        <w:rPr>
          <w:rFonts w:hint="eastAsia"/>
        </w:rPr>
        <w:t xml:space="preserve">：Mercedes</w:t>
      </w:r>
      <w:r>
        <w:t xml:space="preserve"> A. Arias </w:t>
      </w:r>
      <w:r>
        <w:rPr>
          <w:rFonts w:hint="eastAsia"/>
        </w:rPr>
        <w:t xml:space="preserve">Domínguez（战略规划和管控总监）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成员</w:t>
      </w:r>
      <w:r>
        <w:rPr>
          <w:rFonts w:hint="eastAsia"/>
        </w:rPr>
        <w:t xml:space="preserve">：Mildred</w:t>
      </w:r>
      <w:r>
        <w:t xml:space="preserve"> </w:t>
      </w:r>
      <w:r>
        <w:rPr>
          <w:rFonts w:hint="eastAsia"/>
        </w:rPr>
        <w:t xml:space="preserve">Ortíz（信息获取负责人RAI）</w:t>
      </w:r>
    </w:p>
    <w:p>
      <w:r>
        <w:pict>
          <v:rect style="width:0;height:1.5pt" o:hralign="center" o:hrstd="t" o:hr="t"/>
        </w:pict>
      </w:r>
    </w:p>
    <w:bookmarkEnd w:id="10"/>
    <w:bookmarkStart w:id="11" w:name="二事实经过"/>
    <w:p>
      <w:pPr>
        <w:pStyle w:val="Heading2"/>
      </w:pPr>
      <w:r>
        <w:rPr>
          <w:rFonts w:hint="eastAsia"/>
        </w:rPr>
        <w:t xml:space="preserve">二、事实经过</w:t>
      </w:r>
    </w:p>
    <w:p>
      <w:pPr>
        <w:pStyle w:val="FirstParagraph"/>
      </w:pPr>
      <w:r>
        <w:rPr>
          <w:rFonts w:hint="eastAsia"/>
          <w:b/>
          <w:bCs/>
        </w:rPr>
        <w:t xml:space="preserve">2025年10月21日</w:t>
      </w:r>
      <w:r>
        <w:rPr>
          <w:rFonts w:hint="eastAsia"/>
        </w:rPr>
        <w:t xml:space="preserve">：EDEESTE发布招标启动公告，招标编号为EDEESTE-CCC-LPN-2025-0019，采购用于工业、普通和微计量的移动网络（RM）电表。</w:t>
      </w:r>
    </w:p>
    <w:p>
      <w:pPr>
        <w:pStyle w:val="BodyText"/>
      </w:pPr>
      <w:r>
        <w:rPr>
          <w:rFonts w:hint="eastAsia"/>
          <w:b/>
          <w:bCs/>
        </w:rPr>
        <w:t xml:space="preserve">2026年1月29日</w:t>
      </w:r>
      <w:r>
        <w:rPr>
          <w:rFonts w:hint="eastAsia"/>
        </w:rPr>
        <w:t xml:space="preserve">：KEIKO</w:t>
      </w:r>
      <w:r>
        <w:t xml:space="preserve"> </w:t>
      </w:r>
      <w:r>
        <w:rPr>
          <w:rFonts w:hint="eastAsia"/>
        </w:rPr>
        <w:t xml:space="preserve">ACC联合体提出质疑申请。</w:t>
      </w:r>
    </w:p>
    <w:p>
      <w:pPr>
        <w:pStyle w:val="BodyText"/>
      </w:pPr>
      <w:r>
        <w:rPr>
          <w:rFonts w:hint="eastAsia"/>
          <w:b/>
          <w:bCs/>
        </w:rPr>
        <w:t xml:space="preserve">2026年2月2日</w:t>
      </w:r>
      <w:r>
        <w:rPr>
          <w:rFonts w:hint="eastAsia"/>
        </w:rPr>
        <w:t xml:space="preserve">：质疑正式受理。</w:t>
      </w:r>
    </w:p>
    <w:p>
      <w:pPr>
        <w:pStyle w:val="BodyText"/>
      </w:pPr>
      <w:r>
        <w:rPr>
          <w:rFonts w:hint="eastAsia"/>
          <w:b/>
          <w:bCs/>
        </w:rPr>
        <w:t xml:space="preserve">2026年2月18日</w:t>
      </w:r>
      <w:r>
        <w:rPr>
          <w:rFonts w:hint="eastAsia"/>
        </w:rPr>
        <w:t xml:space="preserve">：本决定书发布。</w:t>
      </w:r>
    </w:p>
    <w:p>
      <w:r>
        <w:pict>
          <v:rect style="width:0;height:1.5pt" o:hralign="center" o:hrstd="t" o:hr="t"/>
        </w:pict>
      </w:r>
    </w:p>
    <w:bookmarkEnd w:id="11"/>
    <w:bookmarkStart w:id="13" w:name="三质疑方keiko-acc的诉求"/>
    <w:p>
      <w:pPr>
        <w:pStyle w:val="Heading2"/>
      </w:pPr>
      <w:r>
        <w:rPr>
          <w:rFonts w:hint="eastAsia"/>
        </w:rPr>
        <w:t xml:space="preserve">三、质疑方（KEIKO</w:t>
      </w:r>
      <w:r>
        <w:t xml:space="preserve"> </w:t>
      </w:r>
      <w:r>
        <w:rPr>
          <w:rFonts w:hint="eastAsia"/>
        </w:rPr>
        <w:t xml:space="preserve">ACC）的诉求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接受部分质疑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立即删除技术备注中要求继电器内部具体结构的内容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维持SIE批准的技术参数表，允许符合ANSI国际标准的等效技术方案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发布招标修正案，确保投标人平等竞争条件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暂停受影响的相关期限</w:t>
      </w:r>
    </w:p>
    <w:bookmarkStart w:id="12" w:name="质疑理由"/>
    <w:p>
      <w:pPr>
        <w:pStyle w:val="Heading3"/>
      </w:pPr>
      <w:r>
        <w:rPr>
          <w:rFonts w:hint="eastAsia"/>
        </w:rPr>
        <w:t xml:space="preserve">质疑理由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招标文件纳入了电表数据保证表（由电力监管局SIE发布）：</w:t>
      </w:r>
    </w:p>
    <w:p>
      <w:pPr>
        <w:pStyle w:val="Compact"/>
        <w:numPr>
          <w:ilvl w:val="1"/>
          <w:numId w:val="1004"/>
        </w:numPr>
      </w:pPr>
      <w:r>
        <w:t xml:space="preserve">2S </w:t>
      </w:r>
      <w:r>
        <w:rPr>
          <w:rFonts w:hint="eastAsia"/>
        </w:rPr>
        <w:t xml:space="preserve">MR-242C-RM-TC型电表（240V，三相，CL200）</w:t>
      </w:r>
    </w:p>
    <w:p>
      <w:pPr>
        <w:pStyle w:val="Compact"/>
        <w:numPr>
          <w:ilvl w:val="1"/>
          <w:numId w:val="1004"/>
        </w:numPr>
      </w:pPr>
      <w:r>
        <w:t xml:space="preserve">12S </w:t>
      </w:r>
      <w:r>
        <w:rPr>
          <w:rFonts w:hint="eastAsia"/>
        </w:rPr>
        <w:t xml:space="preserve">MR-242B-RM-TC型电表（208V，三相，CL200）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但这些表格包含一项</w:t>
      </w:r>
      <w:r>
        <w:rPr>
          <w:rFonts w:hint="eastAsia"/>
          <w:b/>
          <w:bCs/>
        </w:rPr>
        <w:t xml:space="preserve">额外备注</w:t>
      </w:r>
      <w:r>
        <w:rPr>
          <w:rFonts w:hint="eastAsia"/>
        </w:rPr>
        <w:t xml:space="preserve">，要求远程断路继电器具有特定的内部结构配置，不允许技术等效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该要求不属于功能、规范或性能参数（不符合ANSI</w:t>
      </w:r>
      <w:r>
        <w:t xml:space="preserve"> </w:t>
      </w:r>
      <w:r>
        <w:rPr>
          <w:rFonts w:hint="eastAsia"/>
        </w:rPr>
        <w:t xml:space="preserve">C12系列、ANSI</w:t>
      </w:r>
      <w:r>
        <w:t xml:space="preserve"> </w:t>
      </w:r>
      <w:r>
        <w:rPr>
          <w:rFonts w:hint="eastAsia"/>
        </w:rPr>
        <w:t xml:space="preserve">C37系列、ANSI</w:t>
      </w:r>
      <w:r>
        <w:t xml:space="preserve"> </w:t>
      </w:r>
      <w:r>
        <w:rPr>
          <w:rFonts w:hint="eastAsia"/>
        </w:rPr>
        <w:t xml:space="preserve">C84.1等标准），而是指定了特定内部架构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这限制了使用不同技术设计但同样满足所有功能要求的供应商参与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可能有利于特定制造商，违背平等、竞争和透明原则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7" w:name="四edeeste的审查意见"/>
    <w:p>
      <w:pPr>
        <w:pStyle w:val="Heading2"/>
      </w:pPr>
      <w:r>
        <w:rPr>
          <w:rFonts w:hint="eastAsia"/>
        </w:rPr>
        <w:t xml:space="preserve">四、EDEESTE的审查意见</w:t>
      </w:r>
    </w:p>
    <w:bookmarkStart w:id="14" w:name="关于质疑形式"/>
    <w:p>
      <w:pPr>
        <w:pStyle w:val="Heading3"/>
      </w:pPr>
      <w:r>
        <w:rPr>
          <w:rFonts w:hint="eastAsia"/>
        </w:rPr>
        <w:t xml:space="preserve">关于质疑形式</w:t>
      </w:r>
    </w:p>
    <w:p>
      <w:pPr>
        <w:pStyle w:val="FirstParagraph"/>
      </w:pPr>
      <w:r>
        <w:rPr>
          <w:rFonts w:hint="eastAsia"/>
        </w:rPr>
        <w:t xml:space="preserve">依据第340-06号法律第67条，质疑符合法定形式要求，无需在本文中另行说明。</w:t>
      </w:r>
    </w:p>
    <w:bookmarkEnd w:id="14"/>
    <w:bookmarkStart w:id="15" w:name="关于技术备注的内容"/>
    <w:p>
      <w:pPr>
        <w:pStyle w:val="Heading3"/>
      </w:pPr>
      <w:r>
        <w:rPr>
          <w:rFonts w:hint="eastAsia"/>
        </w:rPr>
        <w:t xml:space="preserve">关于技术备注的内容</w:t>
      </w:r>
    </w:p>
    <w:p>
      <w:pPr>
        <w:pStyle w:val="FirstParagraph"/>
      </w:pPr>
      <w:r>
        <w:rPr>
          <w:rFonts w:hint="eastAsia"/>
        </w:rPr>
        <w:t xml:space="preserve">技术参数表中的澄清备注为：</w:t>
      </w:r>
    </w:p>
    <w:p>
      <w:pPr>
        <w:pStyle w:val="BlockText"/>
      </w:pPr>
      <w:r>
        <w:rPr>
          <w:rFonts w:hint="eastAsia"/>
          <w:i/>
          <w:iCs/>
        </w:rPr>
        <w:t xml:space="preserve">“多相电表的内置断路装置必须是联锁块式多相类型，确保三相同时开启和关闭。必填。”</w:t>
      </w:r>
    </w:p>
    <w:bookmarkEnd w:id="15"/>
    <w:bookmarkStart w:id="16" w:name="关于适用标准"/>
    <w:p>
      <w:pPr>
        <w:pStyle w:val="Heading3"/>
      </w:pPr>
      <w:r>
        <w:rPr>
          <w:rFonts w:hint="eastAsia"/>
        </w:rPr>
        <w:t xml:space="preserve">关于适用标准</w:t>
      </w:r>
    </w:p>
    <w:p>
      <w:pPr>
        <w:pStyle w:val="FirstParagraph"/>
      </w:pPr>
      <w:r>
        <w:rPr>
          <w:rFonts w:hint="eastAsia"/>
        </w:rPr>
        <w:t xml:space="preserve">根据ANSI</w:t>
      </w:r>
      <w:r>
        <w:t xml:space="preserve"> </w:t>
      </w:r>
      <w:r>
        <w:rPr>
          <w:rFonts w:hint="eastAsia"/>
        </w:rPr>
        <w:t xml:space="preserve">C12.26和IEC</w:t>
      </w:r>
      <w:r>
        <w:t xml:space="preserve"> 62052-11、IEC </w:t>
      </w:r>
      <w:r>
        <w:rPr>
          <w:rFonts w:hint="eastAsia"/>
        </w:rPr>
        <w:t xml:space="preserve">62055-31标准：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必须是与电表配置一致的双极单相类型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所有相必须同时开合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不能一相闭合而另一相断开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如使用独立模块，必须机械或功能联锁，不能独立运行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分体式结构必须作为一个整体通过测试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五决定理由"/>
    <w:p>
      <w:pPr>
        <w:pStyle w:val="Heading2"/>
      </w:pPr>
      <w:r>
        <w:rPr>
          <w:rFonts w:hint="eastAsia"/>
        </w:rPr>
        <w:t xml:space="preserve">五、决定理由</w:t>
      </w:r>
    </w:p>
    <w:p>
      <w:pPr>
        <w:numPr>
          <w:ilvl w:val="0"/>
          <w:numId w:val="1006"/>
        </w:numPr>
      </w:pPr>
      <w:r>
        <w:rPr>
          <w:rFonts w:hint="eastAsia"/>
          <w:b/>
          <w:bCs/>
        </w:rPr>
        <w:t xml:space="preserve">备注性质</w:t>
      </w:r>
      <w:r>
        <w:rPr>
          <w:rFonts w:hint="eastAsia"/>
        </w:rPr>
        <w:t xml:space="preserve">：澄清备注不构成技术条件修改，未引入新要求或改变既定参数，仅为确保对技术要求的统一理解</w:t>
      </w:r>
    </w:p>
    <w:p>
      <w:pPr>
        <w:numPr>
          <w:ilvl w:val="0"/>
          <w:numId w:val="1006"/>
        </w:numPr>
      </w:pPr>
      <w:r>
        <w:rPr>
          <w:rFonts w:hint="eastAsia"/>
          <w:b/>
          <w:bCs/>
        </w:rPr>
        <w:t xml:space="preserve">不影响平等</w:t>
      </w:r>
      <w:r>
        <w:rPr>
          <w:rFonts w:hint="eastAsia"/>
        </w:rPr>
        <w:t xml:space="preserve">：备注内容对所有投标人同等可获取，未影响平等参与或客观评估标准</w:t>
      </w:r>
    </w:p>
    <w:p>
      <w:pPr>
        <w:numPr>
          <w:ilvl w:val="0"/>
          <w:numId w:val="1006"/>
        </w:numPr>
      </w:pPr>
      <w:r>
        <w:rPr>
          <w:rFonts w:hint="eastAsia"/>
          <w:b/>
          <w:bCs/>
        </w:rPr>
        <w:t xml:space="preserve">标准要求</w:t>
      </w:r>
      <w:r>
        <w:rPr>
          <w:rFonts w:hint="eastAsia"/>
        </w:rPr>
        <w:t xml:space="preserve">：该要求本身符合ANSI和IEC标准，并非额外限制</w:t>
      </w:r>
    </w:p>
    <w:p>
      <w:pPr>
        <w:numPr>
          <w:ilvl w:val="0"/>
          <w:numId w:val="1006"/>
        </w:numPr>
      </w:pPr>
      <w:r>
        <w:rPr>
          <w:rFonts w:hint="eastAsia"/>
          <w:b/>
          <w:bCs/>
        </w:rPr>
        <w:t xml:space="preserve">其他投标人未质疑</w:t>
      </w:r>
      <w:r>
        <w:rPr>
          <w:rFonts w:hint="eastAsia"/>
        </w:rPr>
        <w:t xml:space="preserve">：所有投标人同样获取该信息，但其他投标人均未提出质疑</w:t>
      </w:r>
    </w:p>
    <w:p>
      <w:pPr>
        <w:numPr>
          <w:ilvl w:val="0"/>
          <w:numId w:val="1006"/>
        </w:numPr>
      </w:pPr>
      <w:r>
        <w:rPr>
          <w:rFonts w:hint="eastAsia"/>
          <w:b/>
          <w:bCs/>
        </w:rPr>
        <w:t xml:space="preserve">法律依据</w:t>
      </w:r>
      <w:r>
        <w:rPr>
          <w:rFonts w:hint="eastAsia"/>
        </w:rPr>
        <w:t xml:space="preserve">：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第340-06号法律第3条第1款（效率原则）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第340-06号法律第26条（授予最有利报价）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第416-23号法令第133条（采购委员会职责）</w:t>
      </w:r>
    </w:p>
    <w:p>
      <w:r>
        <w:pict>
          <v:rect style="width:0;height:1.5pt" o:hralign="center" o:hrstd="t" o:hr="t"/>
        </w:pict>
      </w:r>
    </w:p>
    <w:bookmarkEnd w:id="18"/>
    <w:bookmarkStart w:id="19" w:name="六决议"/>
    <w:p>
      <w:pPr>
        <w:pStyle w:val="Heading2"/>
      </w:pPr>
      <w:r>
        <w:rPr>
          <w:rFonts w:hint="eastAsia"/>
        </w:rPr>
        <w:t xml:space="preserve">六、决议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495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决议内容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第一决议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接受形式</w:t>
            </w:r>
            <w:r>
              <w:t xml:space="preserve"> </w:t>
            </w:r>
            <w:r>
              <w:t xml:space="preserve">- </w:t>
            </w:r>
            <w:r>
              <w:rPr>
                <w:rFonts w:hint="eastAsia"/>
              </w:rPr>
              <w:t xml:space="preserve">质疑在法定期限内按法定程序提交，予以受理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第二决议</w:t>
            </w:r>
          </w:p>
        </w:tc>
        <w:tc>
          <w:tcPr/>
          <w:p>
            <w:pPr>
              <w:pStyle w:val="Compact"/>
            </w:pPr>
            <w:r>
              <w:t xml:space="preserve">❌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驳回实质</w:t>
            </w:r>
            <w:r>
              <w:t xml:space="preserve"> </w:t>
            </w:r>
            <w:r>
              <w:t xml:space="preserve">- </w:t>
            </w:r>
            <w:r>
              <w:rPr>
                <w:rFonts w:hint="eastAsia"/>
              </w:rPr>
              <w:t xml:space="preserve">质疑缺乏依据，技术备注为解释性说明，不要求特定内部结构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第三决议</w:t>
            </w:r>
          </w:p>
        </w:tc>
        <w:tc>
          <w:tcPr/>
          <w:p>
            <w:pPr>
              <w:pStyle w:val="Compact"/>
            </w:pPr>
            <w:r>
              <w:t xml:space="preserve">📢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命令公布</w:t>
            </w:r>
            <w:r>
              <w:t xml:space="preserve"> </w:t>
            </w:r>
            <w:r>
              <w:t xml:space="preserve">- </w:t>
            </w:r>
            <w:r>
              <w:rPr>
                <w:rFonts w:hint="eastAsia"/>
              </w:rPr>
              <w:t xml:space="preserve">在机构门户和主管机关门户公布本文件及附件，遵守透明和公示原则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第四决议</w:t>
            </w:r>
          </w:p>
        </w:tc>
        <w:tc>
          <w:tcPr/>
          <w:p>
            <w:pPr>
              <w:pStyle w:val="Compact"/>
            </w:pPr>
            <w:r>
              <w:t xml:space="preserve">⚖️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上诉权利</w:t>
            </w:r>
            <w:r>
              <w:t xml:space="preserve"> </w:t>
            </w:r>
            <w:r>
              <w:t xml:space="preserve">- </w:t>
            </w:r>
            <w:r>
              <w:rPr>
                <w:rFonts w:hint="eastAsia"/>
              </w:rPr>
              <w:t xml:space="preserve">依据第107-13号法律，可向公共采购总局（DGCP）或高等行政法院上诉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七上诉途径"/>
    <w:p>
      <w:pPr>
        <w:pStyle w:val="Heading2"/>
      </w:pPr>
      <w:r>
        <w:rPr>
          <w:rFonts w:hint="eastAsia"/>
        </w:rPr>
        <w:t xml:space="preserve">七、上诉途径</w:t>
      </w:r>
    </w:p>
    <w:p>
      <w:pPr>
        <w:pStyle w:val="FirstParagraph"/>
      </w:pPr>
      <w:r>
        <w:rPr>
          <w:rFonts w:hint="eastAsia"/>
        </w:rPr>
        <w:t xml:space="preserve">根据第340-06号法律第67条及以下法律规定：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可向</w:t>
      </w:r>
      <w:r>
        <w:rPr>
          <w:rFonts w:hint="eastAsia"/>
          <w:b/>
          <w:bCs/>
        </w:rPr>
        <w:t xml:space="preserve">公共采购总局（DGCP）</w:t>
      </w:r>
      <w:r>
        <w:rPr>
          <w:rFonts w:hint="eastAsia"/>
        </w:rPr>
        <w:t xml:space="preserve">上诉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或直接向</w:t>
      </w:r>
      <w:r>
        <w:rPr>
          <w:rFonts w:hint="eastAsia"/>
          <w:b/>
          <w:bCs/>
        </w:rPr>
        <w:t xml:space="preserve">高等行政法院</w:t>
      </w:r>
      <w:r>
        <w:rPr>
          <w:rFonts w:hint="eastAsia"/>
        </w:rPr>
        <w:t xml:space="preserve">上诉</w:t>
      </w:r>
    </w:p>
    <w:p>
      <w:r>
        <w:pict>
          <v:rect style="width:0;height:1.5pt" o:hralign="center" o:hrstd="t" o:hr="t"/>
        </w:pict>
      </w:r>
    </w:p>
    <w:bookmarkEnd w:id="20"/>
    <w:bookmarkStart w:id="21" w:name="八签发"/>
    <w:p>
      <w:pPr>
        <w:pStyle w:val="Heading2"/>
      </w:pPr>
      <w:r>
        <w:rPr>
          <w:rFonts w:hint="eastAsia"/>
        </w:rPr>
        <w:t xml:space="preserve">八、签发</w:t>
      </w:r>
    </w:p>
    <w:p>
      <w:pPr>
        <w:pStyle w:val="FirstParagraph"/>
      </w:pPr>
      <w:r>
        <w:rPr>
          <w:rFonts w:hint="eastAsia"/>
          <w:b/>
          <w:bCs/>
        </w:rPr>
        <w:t xml:space="preserve">地点</w:t>
      </w:r>
      <w:r>
        <w:rPr>
          <w:rFonts w:hint="eastAsia"/>
        </w:rPr>
        <w:t xml:space="preserve">：多米尼加共和国圣多明各省圣多明各以东市</w:t>
      </w:r>
    </w:p>
    <w:p>
      <w:pPr>
        <w:pStyle w:val="BodyText"/>
      </w:pPr>
      <w:r>
        <w:rPr>
          <w:rFonts w:hint="eastAsia"/>
          <w:b/>
          <w:bCs/>
        </w:rPr>
        <w:t xml:space="preserve">日期</w:t>
      </w:r>
      <w:r>
        <w:rPr>
          <w:rFonts w:hint="eastAsia"/>
        </w:rPr>
        <w:t xml:space="preserve">：2026年2月18日</w:t>
      </w:r>
    </w:p>
    <w:p>
      <w:pPr>
        <w:pStyle w:val="BodyText"/>
      </w:pPr>
      <w:r>
        <w:rPr>
          <w:rFonts w:hint="eastAsia"/>
          <w:b/>
          <w:bCs/>
        </w:rPr>
        <w:t xml:space="preserve">签名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9"/>
        </w:numPr>
      </w:pPr>
      <w:r>
        <w:t xml:space="preserve">Emilio </w:t>
      </w:r>
      <w:r>
        <w:rPr>
          <w:rFonts w:hint="eastAsia"/>
        </w:rPr>
        <w:t xml:space="preserve">Contreras（总经理兼采购委员会主席）</w:t>
      </w:r>
    </w:p>
    <w:p>
      <w:pPr>
        <w:pStyle w:val="Compact"/>
        <w:numPr>
          <w:ilvl w:val="0"/>
          <w:numId w:val="1009"/>
        </w:numPr>
      </w:pPr>
      <w:r>
        <w:t xml:space="preserve">Chaimy Ramírez </w:t>
      </w:r>
      <w:r>
        <w:rPr>
          <w:rFonts w:hint="eastAsia"/>
        </w:rPr>
        <w:t xml:space="preserve">Mejía（法律总监）</w:t>
      </w:r>
    </w:p>
    <w:p>
      <w:pPr>
        <w:pStyle w:val="Compact"/>
        <w:numPr>
          <w:ilvl w:val="0"/>
          <w:numId w:val="1009"/>
        </w:numPr>
      </w:pPr>
      <w:r>
        <w:t xml:space="preserve">Mercedes A. Arias </w:t>
      </w:r>
      <w:r>
        <w:rPr>
          <w:rFonts w:hint="eastAsia"/>
        </w:rPr>
        <w:t xml:space="preserve">Domínguez（战略规划总监）</w:t>
      </w:r>
    </w:p>
    <w:p>
      <w:pPr>
        <w:pStyle w:val="Compact"/>
        <w:numPr>
          <w:ilvl w:val="0"/>
          <w:numId w:val="1009"/>
        </w:numPr>
      </w:pPr>
      <w:r>
        <w:t xml:space="preserve">Mildred </w:t>
      </w:r>
      <w:r>
        <w:rPr>
          <w:rFonts w:hint="eastAsia"/>
        </w:rPr>
        <w:t xml:space="preserve">Ortíz（信息获取负责人）</w:t>
      </w:r>
    </w:p>
    <w:p>
      <w:pPr>
        <w:pStyle w:val="Compact"/>
        <w:numPr>
          <w:ilvl w:val="0"/>
          <w:numId w:val="1009"/>
        </w:numPr>
      </w:pPr>
      <w:r>
        <w:t xml:space="preserve">Juan Alberto Lora </w:t>
      </w:r>
      <w:r>
        <w:rPr>
          <w:rFonts w:hint="eastAsia"/>
        </w:rPr>
        <w:t xml:space="preserve">Troncoso（财务总监）</w:t>
      </w:r>
    </w:p>
    <w:p>
      <w:r>
        <w:pict>
          <v:rect style="width:0;height:1.5pt" o:hralign="center" o:hrstd="t" o:hr="t"/>
        </w:pict>
      </w:r>
    </w:p>
    <w:bookmarkEnd w:id="21"/>
    <w:bookmarkStart w:id="22" w:name="总结"/>
    <w:p>
      <w:pPr>
        <w:pStyle w:val="Heading2"/>
      </w:pPr>
      <w:r>
        <w:rPr>
          <w:rFonts w:hint="eastAsia"/>
        </w:rPr>
        <w:t xml:space="preserve">总结</w:t>
      </w:r>
    </w:p>
    <w:p>
      <w:pPr>
        <w:pStyle w:val="FirstParagraph"/>
      </w:pPr>
      <w:r>
        <w:rPr>
          <w:rFonts w:hint="eastAsia"/>
        </w:rPr>
        <w:t xml:space="preserve">这份文件是</w:t>
      </w:r>
      <w:r>
        <w:rPr>
          <w:rFonts w:hint="eastAsia"/>
          <w:b/>
          <w:bCs/>
        </w:rPr>
        <w:t xml:space="preserve">东配电公司（EDEESTE）</w:t>
      </w:r>
      <w:r>
        <w:rPr>
          <w:rFonts w:hint="eastAsia"/>
        </w:rPr>
        <w:t xml:space="preserve">对</w:t>
      </w:r>
      <w:r>
        <w:rPr>
          <w:b/>
          <w:bCs/>
        </w:rPr>
        <w:t xml:space="preserve">KEIKO </w:t>
      </w:r>
      <w:r>
        <w:rPr>
          <w:rFonts w:hint="eastAsia"/>
          <w:b/>
          <w:bCs/>
        </w:rPr>
        <w:t xml:space="preserve">ACC联合体</w:t>
      </w:r>
      <w:r>
        <w:rPr>
          <w:rFonts w:hint="eastAsia"/>
        </w:rPr>
        <w:t xml:space="preserve">关于电表采购招标的技术质疑的</w:t>
      </w:r>
      <w:r>
        <w:rPr>
          <w:rFonts w:hint="eastAsia"/>
          <w:b/>
          <w:bCs/>
        </w:rPr>
        <w:t xml:space="preserve">正式答复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结果</w:t>
      </w:r>
      <w:r>
        <w:rPr>
          <w:rFonts w:hint="eastAsia"/>
        </w:rPr>
        <w:t xml:space="preserve">：✅</w:t>
      </w:r>
      <w:r>
        <w:t xml:space="preserve"> </w:t>
      </w:r>
      <w:r>
        <w:rPr>
          <w:rFonts w:hint="eastAsia"/>
        </w:rPr>
        <w:t xml:space="preserve">形式受理，❌</w:t>
      </w:r>
      <w:r>
        <w:t xml:space="preserve"> </w:t>
      </w:r>
      <w:r>
        <w:rPr>
          <w:rFonts w:hint="eastAsia"/>
        </w:rPr>
        <w:t xml:space="preserve">实质驳回</w:t>
      </w:r>
    </w:p>
    <w:p>
      <w:pPr>
        <w:pStyle w:val="BodyText"/>
      </w:pPr>
      <w:r>
        <w:rPr>
          <w:rFonts w:hint="eastAsia"/>
          <w:b/>
          <w:bCs/>
        </w:rPr>
        <w:t xml:space="preserve">核心原因</w:t>
      </w:r>
      <w:r>
        <w:rPr>
          <w:rFonts w:hint="eastAsia"/>
        </w:rPr>
        <w:t xml:space="preserve">：技术备注仅是对原有SIE批准标准的解释性说明，并非额外技术要求，且该要求本身符合ANSI/IEC国际标准。KEIKO</w:t>
      </w:r>
      <w:r>
        <w:t xml:space="preserve"> </w:t>
      </w:r>
      <w:r>
        <w:rPr>
          <w:rFonts w:hint="eastAsia"/>
        </w:rPr>
        <w:t xml:space="preserve">ACC认为备注限制了技术等效性，但招标方认为该要求合理且符合行业标准。</w:t>
      </w:r>
    </w:p>
    <w:p>
      <w:pPr>
        <w:pStyle w:val="BodyText"/>
      </w:pPr>
      <w:r>
        <w:rPr>
          <w:rFonts w:hint="eastAsia"/>
        </w:rPr>
        <w:t xml:space="preserve">招标方已下令公布本决定，并告知上诉权利。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2026-03-06T13:28:03Z</dcterms:created>
  <dcterms:modified xsi:type="dcterms:W3CDTF">2026-03-06T13:28:03Z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