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EE864" w14:textId="5F55CF4D" w:rsidR="00B70B0A" w:rsidRPr="00B70B0A" w:rsidRDefault="00B70B0A" w:rsidP="00B70B0A">
      <w:pPr>
        <w:jc w:val="center"/>
        <w:rPr>
          <w:rFonts w:ascii="Cambria" w:hAnsi="Cambria"/>
          <w:bCs/>
          <w:i/>
        </w:rPr>
      </w:pPr>
      <w:r w:rsidRPr="00B70B0A">
        <w:rPr>
          <w:rFonts w:ascii="Cambria" w:hAnsi="Cambria"/>
          <w:bCs/>
          <w:i/>
        </w:rPr>
        <w:t>Programa de Eficiencia Energética de la República Dominicana</w:t>
      </w:r>
    </w:p>
    <w:p w14:paraId="6E3C482E" w14:textId="77777777" w:rsidR="00B70B0A" w:rsidRDefault="00B70B0A" w:rsidP="00B70B0A">
      <w:pPr>
        <w:spacing w:after="120"/>
        <w:jc w:val="center"/>
        <w:rPr>
          <w:rFonts w:ascii="Cambria" w:hAnsi="Cambria"/>
          <w:b/>
          <w:bCs/>
          <w:i/>
        </w:rPr>
      </w:pPr>
      <w:r w:rsidRPr="00B70B0A">
        <w:rPr>
          <w:rFonts w:ascii="Cambria" w:hAnsi="Cambria"/>
          <w:b/>
          <w:bCs/>
        </w:rPr>
        <w:t>PRESTAMO BID N°</w:t>
      </w:r>
      <w:r w:rsidRPr="00B70B0A">
        <w:rPr>
          <w:rFonts w:ascii="Cambria" w:hAnsi="Cambria"/>
          <w:b/>
          <w:bCs/>
          <w:i/>
        </w:rPr>
        <w:t>4962/OC-DR</w:t>
      </w:r>
    </w:p>
    <w:p w14:paraId="7A80DA25" w14:textId="77777777" w:rsidR="00822ADF" w:rsidRPr="00471AAF" w:rsidRDefault="00822ADF" w:rsidP="00822ADF">
      <w:pPr>
        <w:jc w:val="center"/>
        <w:rPr>
          <w:b/>
          <w:bCs/>
        </w:rPr>
      </w:pPr>
      <w:r w:rsidRPr="00471AAF">
        <w:rPr>
          <w:b/>
          <w:bCs/>
        </w:rPr>
        <w:t>Licitación Pública Internacional LPI-MEM-BID-2026-001</w:t>
      </w:r>
    </w:p>
    <w:p w14:paraId="3C3DC523" w14:textId="77777777" w:rsidR="00822ADF" w:rsidRPr="00471AAF" w:rsidRDefault="00822ADF" w:rsidP="00822ADF">
      <w:pPr>
        <w:jc w:val="center"/>
        <w:rPr>
          <w:b/>
          <w:bCs/>
        </w:rPr>
      </w:pPr>
      <w:r>
        <w:rPr>
          <w:b/>
          <w:bCs/>
        </w:rPr>
        <w:t>C</w:t>
      </w:r>
      <w:r w:rsidRPr="008C7A7E">
        <w:rPr>
          <w:b/>
          <w:bCs/>
        </w:rPr>
        <w:t>ontratación del</w:t>
      </w:r>
      <w:r>
        <w:rPr>
          <w:b/>
          <w:bCs/>
        </w:rPr>
        <w:t xml:space="preserve"> </w:t>
      </w:r>
      <w:r w:rsidRPr="008C7A7E">
        <w:rPr>
          <w:b/>
          <w:bCs/>
        </w:rPr>
        <w:t xml:space="preserve">reemplazo de luminarias y adecuación de infraestructura de alumbrado público en zonas específicas de operación de las EDE (Edesur, </w:t>
      </w:r>
      <w:proofErr w:type="spellStart"/>
      <w:r w:rsidRPr="008C7A7E">
        <w:rPr>
          <w:b/>
          <w:bCs/>
        </w:rPr>
        <w:t>Edenorte</w:t>
      </w:r>
      <w:proofErr w:type="spellEnd"/>
      <w:r w:rsidRPr="008C7A7E">
        <w:rPr>
          <w:b/>
          <w:bCs/>
        </w:rPr>
        <w:t xml:space="preserve"> y </w:t>
      </w:r>
      <w:proofErr w:type="spellStart"/>
      <w:r w:rsidRPr="008C7A7E">
        <w:rPr>
          <w:b/>
          <w:bCs/>
        </w:rPr>
        <w:t>Edeeste</w:t>
      </w:r>
      <w:proofErr w:type="spellEnd"/>
      <w:r w:rsidRPr="008C7A7E">
        <w:rPr>
          <w:b/>
          <w:bCs/>
        </w:rPr>
        <w:t>)</w:t>
      </w:r>
      <w:r>
        <w:rPr>
          <w:b/>
          <w:bCs/>
        </w:rPr>
        <w:t>.</w:t>
      </w:r>
    </w:p>
    <w:p w14:paraId="79D7D53F" w14:textId="77777777" w:rsidR="0083396F" w:rsidRDefault="0083396F" w:rsidP="00B70B0A">
      <w:pPr>
        <w:spacing w:after="120"/>
        <w:jc w:val="center"/>
        <w:rPr>
          <w:rFonts w:ascii="Cambria" w:hAnsi="Cambria"/>
          <w:b/>
          <w:bCs/>
          <w:i/>
        </w:rPr>
      </w:pPr>
    </w:p>
    <w:p w14:paraId="71EB4A6D" w14:textId="1A9D3A01" w:rsidR="00B70B0A" w:rsidRDefault="004A20E4" w:rsidP="00822ADF">
      <w:pPr>
        <w:spacing w:after="120"/>
        <w:jc w:val="center"/>
        <w:rPr>
          <w:rFonts w:ascii="Cambria" w:hAnsi="Cambria"/>
          <w:lang w:val="es-MX"/>
        </w:rPr>
      </w:pPr>
      <w:r>
        <w:rPr>
          <w:rFonts w:ascii="Cambria" w:hAnsi="Cambria"/>
          <w:b/>
          <w:bCs/>
          <w:iCs/>
          <w:sz w:val="28"/>
          <w:szCs w:val="28"/>
        </w:rPr>
        <w:t>Circular No</w:t>
      </w:r>
      <w:r w:rsidR="0083396F" w:rsidRPr="0083396F">
        <w:rPr>
          <w:rFonts w:ascii="Cambria" w:hAnsi="Cambria"/>
          <w:b/>
          <w:bCs/>
          <w:iCs/>
          <w:sz w:val="28"/>
          <w:szCs w:val="28"/>
        </w:rPr>
        <w:t>. 1</w:t>
      </w:r>
    </w:p>
    <w:p w14:paraId="5B85B05A" w14:textId="018A548D" w:rsidR="006F6D6C" w:rsidRPr="00B70B0A" w:rsidRDefault="006F6D6C" w:rsidP="00B70B0A">
      <w:pPr>
        <w:pStyle w:val="Textoindependiente"/>
        <w:spacing w:after="120"/>
        <w:jc w:val="center"/>
        <w:rPr>
          <w:rFonts w:ascii="Cambria" w:hAnsi="Cambria"/>
          <w:lang w:val="es-MX"/>
        </w:rPr>
      </w:pPr>
      <w:r w:rsidRPr="006F6D6C">
        <w:rPr>
          <w:rFonts w:ascii="Cambria" w:hAnsi="Cambria"/>
          <w:b/>
          <w:bCs/>
          <w:lang w:val="es-DO"/>
        </w:rPr>
        <w:t>Fecha de emisión:</w:t>
      </w:r>
      <w:r w:rsidRPr="006F6D6C">
        <w:rPr>
          <w:rFonts w:ascii="Cambria" w:hAnsi="Cambria"/>
          <w:lang w:val="es-DO"/>
        </w:rPr>
        <w:t xml:space="preserve"> </w:t>
      </w:r>
      <w:proofErr w:type="spellStart"/>
      <w:r w:rsidR="007B1B83">
        <w:rPr>
          <w:rFonts w:ascii="Cambria" w:hAnsi="Cambria"/>
          <w:lang w:val="es-DO"/>
        </w:rPr>
        <w:t>xxxxx</w:t>
      </w:r>
      <w:proofErr w:type="spellEnd"/>
    </w:p>
    <w:p w14:paraId="79660140" w14:textId="77777777" w:rsidR="006F6D6C" w:rsidRDefault="006F6D6C" w:rsidP="002D7DEC">
      <w:pPr>
        <w:jc w:val="both"/>
        <w:rPr>
          <w:rFonts w:ascii="Cambria" w:hAnsi="Cambria"/>
          <w:lang w:val="es-MX"/>
        </w:rPr>
      </w:pPr>
    </w:p>
    <w:p w14:paraId="5EE4BCE7" w14:textId="232F367D" w:rsidR="00891530" w:rsidRDefault="00892384" w:rsidP="002D7DEC">
      <w:pPr>
        <w:jc w:val="both"/>
        <w:rPr>
          <w:rFonts w:ascii="Cambria" w:hAnsi="Cambria"/>
        </w:rPr>
      </w:pPr>
      <w:r w:rsidRPr="00892384">
        <w:rPr>
          <w:rFonts w:ascii="Cambria" w:hAnsi="Cambria"/>
        </w:rPr>
        <w:t xml:space="preserve">En atención a las consultas recibidas dentro del plazo establecido en el Pliego de Condiciones, y de conformidad con las disposiciones aplicables, el Comité de </w:t>
      </w:r>
      <w:r w:rsidR="003E3F65">
        <w:rPr>
          <w:rFonts w:ascii="Cambria" w:hAnsi="Cambria"/>
        </w:rPr>
        <w:t>Adquisiciones</w:t>
      </w:r>
      <w:r w:rsidRPr="00892384">
        <w:rPr>
          <w:rFonts w:ascii="Cambria" w:hAnsi="Cambria"/>
        </w:rPr>
        <w:t xml:space="preserve"> emite las siguientes aclaraciones:</w:t>
      </w:r>
    </w:p>
    <w:p w14:paraId="654A155A" w14:textId="77777777" w:rsidR="00891530" w:rsidRDefault="00891530" w:rsidP="00E1521D">
      <w:pPr>
        <w:spacing w:after="160" w:line="278" w:lineRule="auto"/>
        <w:jc w:val="both"/>
        <w:rPr>
          <w:rFonts w:ascii="Cambria" w:hAnsi="Cambria"/>
        </w:rPr>
      </w:pPr>
      <w:r>
        <w:rPr>
          <w:rFonts w:ascii="Cambria" w:hAnsi="Cambria"/>
        </w:rPr>
        <w:br w:type="page"/>
      </w:r>
    </w:p>
    <w:p w14:paraId="47396B3D" w14:textId="2B09992D" w:rsidR="00891530" w:rsidRDefault="00891530" w:rsidP="00E1521D">
      <w:pPr>
        <w:pStyle w:val="Ttulo1"/>
        <w:jc w:val="both"/>
        <w:rPr>
          <w:lang w:val="es-MX"/>
        </w:rPr>
      </w:pPr>
      <w:r>
        <w:rPr>
          <w:lang w:val="es-MX"/>
        </w:rPr>
        <w:lastRenderedPageBreak/>
        <w:t>CONSULTAS EN PLAZO</w:t>
      </w:r>
    </w:p>
    <w:p w14:paraId="280E2BC6" w14:textId="77777777" w:rsidR="00891530" w:rsidRDefault="00891530" w:rsidP="00E1521D">
      <w:pPr>
        <w:jc w:val="both"/>
        <w:rPr>
          <w:rFonts w:ascii="Cambria" w:hAnsi="Cambria"/>
          <w:lang w:val="es-MX"/>
        </w:rPr>
      </w:pPr>
    </w:p>
    <w:p w14:paraId="7D1168B2" w14:textId="531F922C" w:rsidR="00DD6AB9" w:rsidRPr="00DD6AB9" w:rsidRDefault="00CC02CE" w:rsidP="00E1521D">
      <w:pPr>
        <w:shd w:val="clear" w:color="auto" w:fill="E8E8E8" w:themeFill="background2"/>
        <w:jc w:val="both"/>
        <w:rPr>
          <w:rFonts w:ascii="Cambria" w:hAnsi="Cambria"/>
          <w:b/>
          <w:bCs/>
        </w:rPr>
      </w:pPr>
      <w:r>
        <w:rPr>
          <w:rFonts w:ascii="Cambria" w:hAnsi="Cambria"/>
          <w:b/>
          <w:bCs/>
        </w:rPr>
        <w:t>Consulta No.1</w:t>
      </w:r>
      <w:r w:rsidR="00B70B0A" w:rsidRPr="00F825D5">
        <w:rPr>
          <w:rFonts w:ascii="Cambria" w:hAnsi="Cambria"/>
          <w:b/>
          <w:bCs/>
        </w:rPr>
        <w:t xml:space="preserve">.- </w:t>
      </w:r>
      <w:r w:rsidR="00DD6AB9" w:rsidRPr="00DD6AB9">
        <w:rPr>
          <w:rFonts w:ascii="Cambria" w:hAnsi="Cambria"/>
          <w:b/>
          <w:bCs/>
        </w:rPr>
        <w:t xml:space="preserve">Sobre la sección III: Criterios de Evaluación y Calificación, inciso 2. “Experiencia Específica del Licitante” </w:t>
      </w:r>
      <w:proofErr w:type="spellStart"/>
      <w:r w:rsidR="00DD6AB9" w:rsidRPr="00DD6AB9">
        <w:rPr>
          <w:rFonts w:ascii="Cambria" w:hAnsi="Cambria"/>
          <w:b/>
          <w:bCs/>
        </w:rPr>
        <w:t>Item</w:t>
      </w:r>
      <w:proofErr w:type="spellEnd"/>
      <w:r w:rsidR="00DD6AB9" w:rsidRPr="00DD6AB9">
        <w:rPr>
          <w:rFonts w:ascii="Cambria" w:hAnsi="Cambria"/>
          <w:b/>
          <w:bCs/>
        </w:rPr>
        <w:t xml:space="preserve"> 1: </w:t>
      </w:r>
    </w:p>
    <w:p w14:paraId="6FAD0E21" w14:textId="03FCC174" w:rsidR="00DD6AB9" w:rsidRPr="00DD6AB9" w:rsidRDefault="00DD6AB9" w:rsidP="00E1521D">
      <w:pPr>
        <w:shd w:val="clear" w:color="auto" w:fill="E8E8E8" w:themeFill="background2"/>
        <w:jc w:val="both"/>
        <w:rPr>
          <w:rFonts w:ascii="Cambria" w:hAnsi="Cambria"/>
          <w:b/>
          <w:bCs/>
        </w:rPr>
      </w:pPr>
      <w:r w:rsidRPr="00DD6AB9">
        <w:rPr>
          <w:rFonts w:ascii="Cambria" w:hAnsi="Cambria"/>
          <w:b/>
          <w:bCs/>
        </w:rPr>
        <w:t xml:space="preserve">• Dice actualmente: "Experiencia en ejecución de proyectos de referencia comparable que incluyan suministro e instalación de nodos en ciudad/red en operación, desde 2009 hasta 2024, donde el oferente haya actuado como contratista principal". </w:t>
      </w:r>
    </w:p>
    <w:p w14:paraId="090B1CDE" w14:textId="4EB0657C" w:rsidR="00B70B0A" w:rsidRDefault="00DD6AB9" w:rsidP="00E1521D">
      <w:pPr>
        <w:shd w:val="clear" w:color="auto" w:fill="E8E8E8" w:themeFill="background2"/>
        <w:jc w:val="both"/>
        <w:rPr>
          <w:rFonts w:ascii="Cambria" w:hAnsi="Cambria"/>
        </w:rPr>
      </w:pPr>
      <w:r w:rsidRPr="00DD6AB9">
        <w:rPr>
          <w:rFonts w:ascii="Cambria" w:hAnsi="Cambria"/>
          <w:b/>
          <w:bCs/>
        </w:rPr>
        <w:t>• Nuestra consulta: ¿Esta licitación incluye sistema de tele gestión y luminarias o solamente luminarias? ¿De ser solo luminarias, aplicaría esta experiencia solicitada para nodos o se refiere a experiencia en luminarias?</w:t>
      </w:r>
    </w:p>
    <w:p w14:paraId="1BB0324C" w14:textId="77777777" w:rsidR="008B36AB" w:rsidRDefault="008B36AB" w:rsidP="00E1521D">
      <w:pPr>
        <w:jc w:val="both"/>
        <w:rPr>
          <w:rFonts w:ascii="Cambria" w:hAnsi="Cambria"/>
          <w:b/>
          <w:bCs/>
        </w:rPr>
      </w:pPr>
    </w:p>
    <w:p w14:paraId="212753D6" w14:textId="02F2122E" w:rsidR="00F8318F" w:rsidRDefault="00CC02CE" w:rsidP="00E1521D">
      <w:pPr>
        <w:jc w:val="both"/>
        <w:rPr>
          <w:rFonts w:ascii="Cambria" w:hAnsi="Cambria"/>
        </w:rPr>
      </w:pPr>
      <w:r w:rsidRPr="00104D70">
        <w:rPr>
          <w:rFonts w:ascii="Cambria" w:hAnsi="Cambria"/>
          <w:b/>
          <w:bCs/>
          <w:highlight w:val="green"/>
        </w:rPr>
        <w:t>Respuesta</w:t>
      </w:r>
      <w:r w:rsidRPr="00104D70">
        <w:rPr>
          <w:rFonts w:ascii="Cambria" w:hAnsi="Cambria"/>
          <w:highlight w:val="green"/>
        </w:rPr>
        <w:t>:</w:t>
      </w:r>
      <w:r>
        <w:rPr>
          <w:rFonts w:ascii="Cambria" w:hAnsi="Cambria"/>
        </w:rPr>
        <w:t xml:space="preserve"> </w:t>
      </w:r>
    </w:p>
    <w:p w14:paraId="2B4FDA0F" w14:textId="1B5EB86A" w:rsidR="008B36AB" w:rsidRPr="00EE6FE0" w:rsidRDefault="00EF6BDC" w:rsidP="00E1521D">
      <w:pPr>
        <w:jc w:val="both"/>
        <w:rPr>
          <w:rFonts w:ascii="Cambria" w:hAnsi="Cambria"/>
          <w:color w:val="275317" w:themeColor="accent6" w:themeShade="80"/>
        </w:rPr>
      </w:pPr>
      <w:r w:rsidRPr="00EE6FE0">
        <w:rPr>
          <w:rFonts w:ascii="Cambria" w:hAnsi="Cambria"/>
          <w:color w:val="275317" w:themeColor="accent6" w:themeShade="80"/>
        </w:rPr>
        <w:t xml:space="preserve">En donde se expresa “nodos” en lo sucesivo se leerá “luminarias”. </w:t>
      </w:r>
    </w:p>
    <w:p w14:paraId="466764A7" w14:textId="362F18F1" w:rsidR="008B36AB" w:rsidRDefault="000F1A93" w:rsidP="00E1521D">
      <w:pPr>
        <w:jc w:val="both"/>
        <w:rPr>
          <w:rFonts w:ascii="Cambria" w:hAnsi="Cambria"/>
        </w:rPr>
      </w:pPr>
      <w:r w:rsidRPr="000F1A93">
        <w:rPr>
          <w:rFonts w:ascii="Cambria" w:hAnsi="Cambria"/>
          <w:color w:val="275317" w:themeColor="accent6" w:themeShade="80"/>
        </w:rPr>
        <w:t>Esta licitación incluye exclusivamente el suministro e instalación de luminarias</w:t>
      </w:r>
      <w:r>
        <w:rPr>
          <w:rFonts w:ascii="Cambria" w:hAnsi="Cambria"/>
        </w:rPr>
        <w:t>.</w:t>
      </w:r>
    </w:p>
    <w:p w14:paraId="0E8BD6E2" w14:textId="77777777" w:rsidR="000F1A93" w:rsidRDefault="000F1A93" w:rsidP="00E1521D">
      <w:pPr>
        <w:jc w:val="both"/>
        <w:rPr>
          <w:rFonts w:ascii="Cambria" w:hAnsi="Cambria"/>
        </w:rPr>
      </w:pPr>
    </w:p>
    <w:p w14:paraId="3CDFEA52" w14:textId="3F6F8604" w:rsidR="00B70B0A" w:rsidRPr="004E70EA" w:rsidRDefault="004E70EA" w:rsidP="00E1521D">
      <w:pPr>
        <w:jc w:val="both"/>
        <w:rPr>
          <w:rFonts w:ascii="Cambria" w:hAnsi="Cambria"/>
          <w:u w:val="single"/>
        </w:rPr>
      </w:pP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p>
    <w:p w14:paraId="742282EC" w14:textId="63571BA3" w:rsidR="00A07755" w:rsidRPr="00A07755" w:rsidRDefault="00CC02CE" w:rsidP="00E1521D">
      <w:pPr>
        <w:jc w:val="both"/>
        <w:rPr>
          <w:rFonts w:ascii="Cambria" w:hAnsi="Cambria"/>
          <w:b/>
          <w:bCs/>
        </w:rPr>
      </w:pPr>
      <w:r>
        <w:rPr>
          <w:rFonts w:ascii="Cambria" w:hAnsi="Cambria"/>
          <w:b/>
          <w:bCs/>
        </w:rPr>
        <w:t xml:space="preserve">Consulta No. </w:t>
      </w:r>
      <w:r w:rsidR="00B70B0A" w:rsidRPr="00F825D5">
        <w:rPr>
          <w:rFonts w:ascii="Cambria" w:hAnsi="Cambria"/>
          <w:b/>
          <w:bCs/>
        </w:rPr>
        <w:t xml:space="preserve">2.- </w:t>
      </w:r>
      <w:r w:rsidR="00A07755" w:rsidRPr="00A07755">
        <w:rPr>
          <w:rFonts w:ascii="Cambria" w:hAnsi="Cambria"/>
          <w:b/>
          <w:bCs/>
        </w:rPr>
        <w:t xml:space="preserve">Sobre el cartel y su descripción de evaluación técnica en la Sección I: Instrucciones a los Licitantes en el punto 35 evaluación de ofertas subpunto 35.2 Evaluación Técnica: </w:t>
      </w:r>
    </w:p>
    <w:p w14:paraId="54D15B9E" w14:textId="77777777" w:rsidR="00B94834" w:rsidRDefault="00A07755" w:rsidP="00E1521D">
      <w:pPr>
        <w:jc w:val="both"/>
        <w:rPr>
          <w:rFonts w:ascii="Cambria" w:hAnsi="Cambria"/>
          <w:b/>
          <w:bCs/>
        </w:rPr>
      </w:pPr>
      <w:r w:rsidRPr="00A07755">
        <w:rPr>
          <w:rFonts w:ascii="Cambria" w:hAnsi="Cambria"/>
          <w:b/>
          <w:bCs/>
        </w:rPr>
        <w:t xml:space="preserve">• Nuestra consulta: Después de evaluada la oferta presentada por los oferentes; ¿Se requieren muestras? ¿Qué tiempo se brindará para entregar muestras? ¿A quién debemos dirigir estas muestras? ¿En qué lugar, fecha y hora deben presentarse las muestras? ¿Se requiere algún tipo de acabado diferente de pintura para cada lote o es un solo color para todas las muestras? </w:t>
      </w:r>
    </w:p>
    <w:p w14:paraId="17D12596" w14:textId="77777777" w:rsidR="00104D70" w:rsidRDefault="00104D70" w:rsidP="00E1521D">
      <w:pPr>
        <w:jc w:val="both"/>
        <w:rPr>
          <w:rFonts w:ascii="Cambria" w:hAnsi="Cambria"/>
          <w:b/>
          <w:bCs/>
        </w:rPr>
      </w:pPr>
    </w:p>
    <w:p w14:paraId="34869B87" w14:textId="04E672DC" w:rsidR="00F8318F" w:rsidRDefault="00CC02CE" w:rsidP="00E1521D">
      <w:pPr>
        <w:jc w:val="both"/>
        <w:rPr>
          <w:rFonts w:ascii="Cambria" w:hAnsi="Cambria"/>
          <w:i/>
          <w:iCs/>
        </w:rPr>
      </w:pPr>
      <w:r w:rsidRPr="00B040AB">
        <w:rPr>
          <w:rFonts w:ascii="Cambria" w:hAnsi="Cambria"/>
          <w:b/>
          <w:bCs/>
        </w:rPr>
        <w:t>Respuesta</w:t>
      </w:r>
      <w:r>
        <w:rPr>
          <w:rFonts w:ascii="Cambria" w:hAnsi="Cambria"/>
        </w:rPr>
        <w:t xml:space="preserve">: </w:t>
      </w:r>
    </w:p>
    <w:p w14:paraId="17E204B9" w14:textId="0EAE96B7" w:rsidR="00C94BCC" w:rsidRDefault="000F1A93" w:rsidP="00AE78D8">
      <w:pPr>
        <w:jc w:val="both"/>
        <w:rPr>
          <w:u w:val="single"/>
        </w:rPr>
      </w:pPr>
      <w:r w:rsidRPr="000F1A93">
        <w:rPr>
          <w:rFonts w:ascii="Cambria" w:hAnsi="Cambria"/>
          <w:color w:val="275317" w:themeColor="accent6" w:themeShade="80"/>
        </w:rPr>
        <w:t xml:space="preserve">Las muestras se solicitarán tras </w:t>
      </w:r>
      <w:r w:rsidR="00B45840">
        <w:rPr>
          <w:rFonts w:ascii="Cambria" w:hAnsi="Cambria"/>
          <w:color w:val="275317" w:themeColor="accent6" w:themeShade="80"/>
        </w:rPr>
        <w:t>la</w:t>
      </w:r>
      <w:r w:rsidRPr="000F1A93">
        <w:rPr>
          <w:rFonts w:ascii="Cambria" w:hAnsi="Cambria"/>
          <w:color w:val="275317" w:themeColor="accent6" w:themeShade="80"/>
        </w:rPr>
        <w:t xml:space="preserve"> adjudicación parcial y antes de la adjudicación definitiva; para cada lote, la entidad contratante indicará las unidades y características requeridas de los equipos de muestra, otorgando además un plazo suficiente para su entrega.</w:t>
      </w:r>
      <w:r w:rsidR="00AE78D8">
        <w:rPr>
          <w:rFonts w:ascii="Cambria" w:hAnsi="Cambria"/>
          <w:color w:val="275317" w:themeColor="accent6" w:themeShade="80"/>
        </w:rPr>
        <w:t xml:space="preserve"> </w:t>
      </w:r>
      <w:r w:rsidR="00AE78D8" w:rsidRPr="00EE6FE0">
        <w:rPr>
          <w:rFonts w:ascii="Cambria" w:hAnsi="Cambria"/>
          <w:color w:val="275317" w:themeColor="accent6" w:themeShade="80"/>
        </w:rPr>
        <w:t xml:space="preserve">Se entregará una muestra de cada </w:t>
      </w:r>
      <w:r w:rsidR="00EE6FE0" w:rsidRPr="00EE6FE0">
        <w:rPr>
          <w:rFonts w:ascii="Cambria" w:hAnsi="Cambria"/>
          <w:color w:val="275317" w:themeColor="accent6" w:themeShade="80"/>
        </w:rPr>
        <w:t xml:space="preserve">potencia </w:t>
      </w:r>
      <w:r w:rsidR="00AE78D8" w:rsidRPr="00EE6FE0">
        <w:rPr>
          <w:rFonts w:ascii="Cambria" w:hAnsi="Cambria"/>
          <w:color w:val="275317" w:themeColor="accent6" w:themeShade="80"/>
        </w:rPr>
        <w:t xml:space="preserve">ofertada en el plazo de </w:t>
      </w:r>
      <w:r w:rsidR="00EE6FE0" w:rsidRPr="00EE6FE0">
        <w:rPr>
          <w:rFonts w:ascii="Cambria" w:hAnsi="Cambria"/>
          <w:color w:val="275317" w:themeColor="accent6" w:themeShade="80"/>
        </w:rPr>
        <w:t>21 días calendarios</w:t>
      </w:r>
      <w:r w:rsidR="00AE78D8" w:rsidRPr="00EE6FE0">
        <w:rPr>
          <w:rFonts w:ascii="Cambria" w:hAnsi="Cambria"/>
          <w:color w:val="275317" w:themeColor="accent6" w:themeShade="80"/>
        </w:rPr>
        <w:t xml:space="preserve"> desde la adjudicación definitiva</w:t>
      </w:r>
      <w:r w:rsidR="00EE6FE0">
        <w:rPr>
          <w:rFonts w:ascii="Cambria" w:hAnsi="Cambria"/>
          <w:color w:val="275317" w:themeColor="accent6" w:themeShade="80"/>
        </w:rPr>
        <w:t>.</w:t>
      </w:r>
    </w:p>
    <w:p w14:paraId="158BE59D" w14:textId="77777777" w:rsidR="00C94BCC" w:rsidRDefault="00C94BCC" w:rsidP="00E1521D">
      <w:pPr>
        <w:jc w:val="both"/>
        <w:rPr>
          <w:u w:val="single"/>
        </w:rPr>
      </w:pPr>
    </w:p>
    <w:p w14:paraId="2CAD8EC9" w14:textId="54DBF67C" w:rsidR="00892384" w:rsidRPr="004E70EA" w:rsidRDefault="004E70EA" w:rsidP="00E1521D">
      <w:pPr>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689BC08" w14:textId="77777777" w:rsidR="009F2FF9" w:rsidRPr="009F2FF9" w:rsidRDefault="00C94BCC" w:rsidP="00E1521D">
      <w:pPr>
        <w:shd w:val="clear" w:color="auto" w:fill="E8E8E8" w:themeFill="background2"/>
        <w:jc w:val="both"/>
        <w:rPr>
          <w:rFonts w:ascii="Cambria" w:hAnsi="Cambria"/>
          <w:b/>
          <w:bCs/>
        </w:rPr>
      </w:pPr>
      <w:r>
        <w:rPr>
          <w:rFonts w:ascii="Cambria" w:hAnsi="Cambria"/>
          <w:b/>
          <w:bCs/>
        </w:rPr>
        <w:t>Consulta No. 3</w:t>
      </w:r>
      <w:r w:rsidRPr="00F825D5">
        <w:rPr>
          <w:rFonts w:ascii="Cambria" w:hAnsi="Cambria"/>
          <w:b/>
          <w:bCs/>
        </w:rPr>
        <w:t xml:space="preserve">.- </w:t>
      </w:r>
      <w:r w:rsidR="009F2FF9" w:rsidRPr="009F2FF9">
        <w:rPr>
          <w:rFonts w:ascii="Cambria" w:hAnsi="Cambria"/>
          <w:b/>
          <w:bCs/>
        </w:rPr>
        <w:t xml:space="preserve">Sobre PDGT luminarias con potencia de 30W hasta 240W: Ítem 4.6 línea 62 en Excel: </w:t>
      </w:r>
    </w:p>
    <w:p w14:paraId="6CFF256B" w14:textId="77777777" w:rsidR="009F2FF9" w:rsidRPr="009F2FF9" w:rsidRDefault="009F2FF9" w:rsidP="00E1521D">
      <w:pPr>
        <w:shd w:val="clear" w:color="auto" w:fill="E8E8E8" w:themeFill="background2"/>
        <w:jc w:val="both"/>
        <w:rPr>
          <w:rFonts w:ascii="Cambria" w:hAnsi="Cambria"/>
          <w:b/>
          <w:bCs/>
        </w:rPr>
      </w:pPr>
      <w:r w:rsidRPr="009F2FF9">
        <w:rPr>
          <w:rFonts w:ascii="Cambria" w:hAnsi="Cambria"/>
          <w:b/>
          <w:bCs/>
        </w:rPr>
        <w:t xml:space="preserve">• Dice actualmente: "Flujo Luminoso de salida ≥ 11700". </w:t>
      </w:r>
    </w:p>
    <w:p w14:paraId="4833909D" w14:textId="7C2E6488" w:rsidR="009F2FF9" w:rsidRPr="009F2FF9" w:rsidRDefault="009F2FF9" w:rsidP="00E1521D">
      <w:pPr>
        <w:shd w:val="clear" w:color="auto" w:fill="E8E8E8" w:themeFill="background2"/>
        <w:jc w:val="both"/>
        <w:rPr>
          <w:rFonts w:ascii="Cambria" w:hAnsi="Cambria"/>
          <w:b/>
          <w:bCs/>
        </w:rPr>
      </w:pPr>
      <w:r w:rsidRPr="009F2FF9">
        <w:rPr>
          <w:rFonts w:ascii="Cambria" w:hAnsi="Cambria"/>
          <w:b/>
          <w:bCs/>
        </w:rPr>
        <w:t xml:space="preserve">• Nuestra Solicitud: Solicitamos amablemente a este honorable Comité evaluar la posibilidad de enmendar este punto estableciendo un valor de salida lumínica por potencia conforme a lo establecido en el </w:t>
      </w:r>
      <w:proofErr w:type="spellStart"/>
      <w:r w:rsidRPr="009F2FF9">
        <w:rPr>
          <w:rFonts w:ascii="Cambria" w:hAnsi="Cambria"/>
          <w:b/>
          <w:bCs/>
        </w:rPr>
        <w:t>item</w:t>
      </w:r>
      <w:proofErr w:type="spellEnd"/>
      <w:r w:rsidRPr="009F2FF9">
        <w:rPr>
          <w:rFonts w:ascii="Cambria" w:hAnsi="Cambria"/>
          <w:b/>
          <w:bCs/>
        </w:rPr>
        <w:t xml:space="preserve"> 3.8 de la PDGT que actualmente dice “Eficiencia lm/w Mínimo un valor ensayado ≥150 lm/W (en 3000K +/- 200K fotométrico. acreditado por UL o entidad internacional equivalente. donde se pueda verificar dicha eficiencia o superior). LM-79 para demostrar el resultado de su prueba. </w:t>
      </w:r>
    </w:p>
    <w:p w14:paraId="715EBC66" w14:textId="5F43B144" w:rsidR="00C94BCC" w:rsidRPr="00A07755" w:rsidRDefault="009F2FF9" w:rsidP="00E1521D">
      <w:pPr>
        <w:shd w:val="clear" w:color="auto" w:fill="E8E8E8" w:themeFill="background2"/>
        <w:jc w:val="both"/>
        <w:rPr>
          <w:rFonts w:ascii="Cambria" w:hAnsi="Cambria"/>
          <w:b/>
          <w:bCs/>
        </w:rPr>
      </w:pPr>
      <w:r w:rsidRPr="009F2FF9">
        <w:rPr>
          <w:rFonts w:ascii="Cambria" w:hAnsi="Cambria"/>
          <w:b/>
          <w:bCs/>
        </w:rPr>
        <w:t xml:space="preserve">• Justificación: Este ajuste permitiría a la mayor cantidad de participante presentar soluciones de producto en potencias inferiores a 80W conforme a </w:t>
      </w:r>
      <w:r w:rsidRPr="009F2FF9">
        <w:rPr>
          <w:rFonts w:ascii="Cambria" w:hAnsi="Cambria"/>
          <w:b/>
          <w:bCs/>
        </w:rPr>
        <w:lastRenderedPageBreak/>
        <w:t>una eficiencia de 150lm/w. A continuación, compartimos una sugerencia de valores para su análisis técnico:</w:t>
      </w:r>
    </w:p>
    <w:p w14:paraId="581B88CA" w14:textId="26111B9C" w:rsidR="00C94BCC" w:rsidRDefault="006848F8" w:rsidP="00E1521D">
      <w:pPr>
        <w:jc w:val="both"/>
        <w:rPr>
          <w:rFonts w:ascii="Cambria" w:hAnsi="Cambria"/>
          <w:b/>
          <w:bCs/>
        </w:rPr>
      </w:pPr>
      <w:r w:rsidRPr="006848F8">
        <w:rPr>
          <w:rFonts w:ascii="Cambria" w:hAnsi="Cambria"/>
          <w:b/>
          <w:bCs/>
          <w:noProof/>
          <w:lang w:val="es-ES" w:eastAsia="es-ES"/>
        </w:rPr>
        <w:drawing>
          <wp:inline distT="0" distB="0" distL="0" distR="0" wp14:anchorId="795CF919" wp14:editId="479B74DD">
            <wp:extent cx="5400040" cy="2577465"/>
            <wp:effectExtent l="0" t="0" r="0" b="0"/>
            <wp:docPr id="20950904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90485" name=""/>
                    <pic:cNvPicPr/>
                  </pic:nvPicPr>
                  <pic:blipFill>
                    <a:blip r:embed="rId8"/>
                    <a:stretch>
                      <a:fillRect/>
                    </a:stretch>
                  </pic:blipFill>
                  <pic:spPr>
                    <a:xfrm>
                      <a:off x="0" y="0"/>
                      <a:ext cx="5400040" cy="2577465"/>
                    </a:xfrm>
                    <a:prstGeom prst="rect">
                      <a:avLst/>
                    </a:prstGeom>
                  </pic:spPr>
                </pic:pic>
              </a:graphicData>
            </a:graphic>
          </wp:inline>
        </w:drawing>
      </w:r>
    </w:p>
    <w:p w14:paraId="2B6D7585" w14:textId="77777777" w:rsidR="006F3918" w:rsidRDefault="006F3918" w:rsidP="00E1521D">
      <w:pPr>
        <w:jc w:val="both"/>
        <w:rPr>
          <w:rFonts w:ascii="Cambria" w:hAnsi="Cambria"/>
          <w:b/>
          <w:bCs/>
        </w:rPr>
      </w:pPr>
    </w:p>
    <w:p w14:paraId="42B788F6" w14:textId="130B1691" w:rsidR="006848F8" w:rsidRDefault="006848F8" w:rsidP="00E1521D">
      <w:pPr>
        <w:jc w:val="both"/>
        <w:rPr>
          <w:rFonts w:ascii="Cambria" w:hAnsi="Cambria"/>
          <w:i/>
          <w:iCs/>
        </w:rPr>
      </w:pPr>
      <w:r w:rsidRPr="006F3918">
        <w:rPr>
          <w:rFonts w:ascii="Cambria" w:hAnsi="Cambria"/>
          <w:b/>
          <w:bCs/>
          <w:highlight w:val="green"/>
        </w:rPr>
        <w:t>Respuesta</w:t>
      </w:r>
      <w:r w:rsidRPr="006F3918">
        <w:rPr>
          <w:rFonts w:ascii="Cambria" w:hAnsi="Cambria"/>
          <w:highlight w:val="green"/>
        </w:rPr>
        <w:t>:</w:t>
      </w:r>
      <w:r>
        <w:rPr>
          <w:rFonts w:ascii="Cambria" w:hAnsi="Cambria"/>
        </w:rPr>
        <w:t xml:space="preserve"> </w:t>
      </w:r>
    </w:p>
    <w:p w14:paraId="160E104C" w14:textId="4EAB0C7E" w:rsidR="006848F8" w:rsidRDefault="000F1A93" w:rsidP="00E1521D">
      <w:pPr>
        <w:jc w:val="both"/>
        <w:rPr>
          <w:u w:val="single"/>
        </w:rPr>
      </w:pPr>
      <w:r>
        <w:rPr>
          <w:rFonts w:ascii="Cambria" w:hAnsi="Cambria"/>
          <w:color w:val="275317" w:themeColor="accent6" w:themeShade="80"/>
        </w:rPr>
        <w:t>Se elimina la exigencia relativa al flujo luminoso ≥ 11</w:t>
      </w:r>
      <w:r w:rsidR="006F3918">
        <w:rPr>
          <w:rFonts w:ascii="Cambria" w:hAnsi="Cambria"/>
          <w:color w:val="275317" w:themeColor="accent6" w:themeShade="80"/>
        </w:rPr>
        <w:t>,</w:t>
      </w:r>
      <w:r>
        <w:rPr>
          <w:rFonts w:ascii="Cambria" w:hAnsi="Cambria"/>
          <w:color w:val="275317" w:themeColor="accent6" w:themeShade="80"/>
        </w:rPr>
        <w:t>700lm. Se exige exclusivamente el cumplimiento de la e</w:t>
      </w:r>
      <w:r w:rsidRPr="000F1A93">
        <w:rPr>
          <w:rFonts w:ascii="Cambria" w:hAnsi="Cambria"/>
          <w:color w:val="275317" w:themeColor="accent6" w:themeShade="80"/>
        </w:rPr>
        <w:t>ficiencia lm/</w:t>
      </w:r>
      <w:r w:rsidR="006F3918">
        <w:rPr>
          <w:rFonts w:ascii="Cambria" w:hAnsi="Cambria"/>
          <w:color w:val="275317" w:themeColor="accent6" w:themeShade="80"/>
        </w:rPr>
        <w:t>W</w:t>
      </w:r>
      <w:r w:rsidRPr="000F1A93">
        <w:rPr>
          <w:rFonts w:ascii="Cambria" w:hAnsi="Cambria"/>
          <w:color w:val="275317" w:themeColor="accent6" w:themeShade="80"/>
        </w:rPr>
        <w:t xml:space="preserve"> </w:t>
      </w:r>
      <w:r>
        <w:rPr>
          <w:rFonts w:ascii="Cambria" w:hAnsi="Cambria"/>
          <w:color w:val="275317" w:themeColor="accent6" w:themeShade="80"/>
        </w:rPr>
        <w:t>con un valor m</w:t>
      </w:r>
      <w:r w:rsidRPr="000F1A93">
        <w:rPr>
          <w:rFonts w:ascii="Cambria" w:hAnsi="Cambria"/>
          <w:color w:val="275317" w:themeColor="accent6" w:themeShade="80"/>
        </w:rPr>
        <w:t xml:space="preserve">ínimo </w:t>
      </w:r>
      <w:r>
        <w:rPr>
          <w:rFonts w:ascii="Cambria" w:hAnsi="Cambria"/>
          <w:color w:val="275317" w:themeColor="accent6" w:themeShade="80"/>
        </w:rPr>
        <w:t>ensayado ≥150 lm/W. Los valores</w:t>
      </w:r>
      <w:r w:rsidR="006F3918">
        <w:rPr>
          <w:rFonts w:ascii="Cambria" w:hAnsi="Cambria"/>
          <w:color w:val="275317" w:themeColor="accent6" w:themeShade="80"/>
        </w:rPr>
        <w:t xml:space="preserve"> sugeridos en la tabla anexa serán considerados en la PDGT.</w:t>
      </w:r>
    </w:p>
    <w:p w14:paraId="3493FFAA" w14:textId="77777777" w:rsidR="006848F8" w:rsidRDefault="006848F8" w:rsidP="00E1521D">
      <w:pPr>
        <w:jc w:val="both"/>
        <w:rPr>
          <w:u w:val="single"/>
        </w:rPr>
      </w:pPr>
    </w:p>
    <w:p w14:paraId="2CC3DE3F" w14:textId="77777777" w:rsidR="006848F8" w:rsidRDefault="006848F8" w:rsidP="00E1521D">
      <w:pPr>
        <w:jc w:val="both"/>
        <w:rPr>
          <w:u w:val="single"/>
        </w:rPr>
      </w:pPr>
    </w:p>
    <w:p w14:paraId="7131E748" w14:textId="77777777" w:rsidR="006848F8" w:rsidRDefault="006848F8" w:rsidP="00E1521D">
      <w:pPr>
        <w:jc w:val="both"/>
        <w:rPr>
          <w:u w:val="single"/>
        </w:rPr>
      </w:pPr>
    </w:p>
    <w:p w14:paraId="5BA12D62" w14:textId="2282B18A" w:rsidR="00C94BCC" w:rsidRDefault="006848F8" w:rsidP="00E1521D">
      <w:pPr>
        <w:jc w:val="both"/>
        <w:rPr>
          <w:rFonts w:ascii="Cambria" w:hAnsi="Cambria"/>
          <w:b/>
          <w:bCs/>
        </w:rPr>
      </w:pPr>
      <w:r>
        <w:rPr>
          <w:u w:val="single"/>
        </w:rPr>
        <w:tab/>
      </w:r>
      <w:r>
        <w:rPr>
          <w:u w:val="single"/>
        </w:rPr>
        <w:tab/>
      </w:r>
      <w:r>
        <w:rPr>
          <w:u w:val="single"/>
        </w:rPr>
        <w:tab/>
      </w:r>
      <w:r>
        <w:rPr>
          <w:u w:val="single"/>
        </w:rPr>
        <w:tab/>
      </w:r>
    </w:p>
    <w:p w14:paraId="39E1FBDD" w14:textId="77777777" w:rsidR="00CB0814" w:rsidRDefault="006848F8" w:rsidP="00E1521D">
      <w:pPr>
        <w:shd w:val="clear" w:color="auto" w:fill="E8E8E8" w:themeFill="background2"/>
        <w:jc w:val="both"/>
        <w:rPr>
          <w:rFonts w:ascii="Cambria" w:hAnsi="Cambria"/>
          <w:b/>
          <w:bCs/>
        </w:rPr>
      </w:pPr>
      <w:r>
        <w:rPr>
          <w:rFonts w:ascii="Cambria" w:hAnsi="Cambria"/>
          <w:b/>
          <w:bCs/>
        </w:rPr>
        <w:t>Consulta No. 4</w:t>
      </w:r>
      <w:r w:rsidRPr="00F825D5">
        <w:rPr>
          <w:rFonts w:ascii="Cambria" w:hAnsi="Cambria"/>
          <w:b/>
          <w:bCs/>
        </w:rPr>
        <w:t xml:space="preserve">.- </w:t>
      </w:r>
      <w:r w:rsidR="00CB0814" w:rsidRPr="00CB0814">
        <w:rPr>
          <w:rFonts w:ascii="Cambria" w:hAnsi="Cambria"/>
          <w:b/>
          <w:bCs/>
        </w:rPr>
        <w:t xml:space="preserve">Sobre PDGT luminarias con potencia de 30W hasta 240W: Ítem 8 línea 82 en Excel: </w:t>
      </w:r>
    </w:p>
    <w:p w14:paraId="5A2E66AD" w14:textId="4E234384" w:rsidR="00CB0814" w:rsidRPr="00CB0814" w:rsidRDefault="00CB0814" w:rsidP="00E1521D">
      <w:pPr>
        <w:shd w:val="clear" w:color="auto" w:fill="E8E8E8" w:themeFill="background2"/>
        <w:jc w:val="both"/>
        <w:rPr>
          <w:rFonts w:ascii="Cambria" w:hAnsi="Cambria"/>
          <w:b/>
          <w:bCs/>
        </w:rPr>
      </w:pPr>
      <w:r w:rsidRPr="00CB0814">
        <w:rPr>
          <w:rFonts w:ascii="Cambria" w:hAnsi="Cambria"/>
          <w:b/>
          <w:bCs/>
        </w:rPr>
        <w:t xml:space="preserve">• Dice actualmente: "Etiquetado". </w:t>
      </w:r>
    </w:p>
    <w:p w14:paraId="22635897" w14:textId="25E42D09" w:rsidR="00CB0814" w:rsidRDefault="00CB0814" w:rsidP="00E1521D">
      <w:pPr>
        <w:shd w:val="clear" w:color="auto" w:fill="E8E8E8" w:themeFill="background2"/>
        <w:jc w:val="both"/>
        <w:rPr>
          <w:rFonts w:ascii="Cambria" w:hAnsi="Cambria"/>
          <w:b/>
          <w:bCs/>
        </w:rPr>
      </w:pPr>
      <w:r w:rsidRPr="00CB0814">
        <w:rPr>
          <w:rFonts w:ascii="Cambria" w:hAnsi="Cambria"/>
          <w:b/>
          <w:bCs/>
        </w:rPr>
        <w:t xml:space="preserve">• Nuestra Consulta: Al final del PDGT </w:t>
      </w:r>
      <w:proofErr w:type="spellStart"/>
      <w:r w:rsidRPr="00CB0814">
        <w:rPr>
          <w:rFonts w:ascii="Cambria" w:hAnsi="Cambria"/>
          <w:b/>
          <w:bCs/>
        </w:rPr>
        <w:t>linea</w:t>
      </w:r>
      <w:proofErr w:type="spellEnd"/>
      <w:r w:rsidRPr="00CB0814">
        <w:rPr>
          <w:rFonts w:ascii="Cambria" w:hAnsi="Cambria"/>
          <w:b/>
          <w:bCs/>
        </w:rPr>
        <w:t xml:space="preserve"> 108-116 en Excel muestra texturalmente las dos anotaciones “(*</w:t>
      </w:r>
      <w:proofErr w:type="gramStart"/>
      <w:r w:rsidRPr="00CB0814">
        <w:rPr>
          <w:rFonts w:ascii="Cambria" w:hAnsi="Cambria"/>
          <w:b/>
          <w:bCs/>
        </w:rPr>
        <w:t>)  A</w:t>
      </w:r>
      <w:proofErr w:type="gramEnd"/>
      <w:r w:rsidRPr="00CB0814">
        <w:rPr>
          <w:rFonts w:ascii="Cambria" w:hAnsi="Cambria"/>
          <w:b/>
          <w:bCs/>
        </w:rPr>
        <w:t xml:space="preserve"> indicar por el oferente  y (**)  Alto o bajo relieve, grabado en laser de manera indeleble” seguido de la siguiente imagen: </w:t>
      </w:r>
    </w:p>
    <w:p w14:paraId="4FB9678C" w14:textId="6E512865" w:rsidR="008238CC" w:rsidRPr="00CB0814" w:rsidRDefault="008238CC" w:rsidP="00E1521D">
      <w:pPr>
        <w:shd w:val="clear" w:color="auto" w:fill="E8E8E8" w:themeFill="background2"/>
        <w:jc w:val="both"/>
        <w:rPr>
          <w:rFonts w:ascii="Cambria" w:hAnsi="Cambria"/>
          <w:b/>
          <w:bCs/>
        </w:rPr>
      </w:pPr>
      <w:r w:rsidRPr="008238CC">
        <w:rPr>
          <w:rFonts w:ascii="Cambria" w:hAnsi="Cambria"/>
          <w:b/>
          <w:bCs/>
          <w:noProof/>
          <w:lang w:val="es-ES" w:eastAsia="es-ES"/>
        </w:rPr>
        <w:drawing>
          <wp:inline distT="0" distB="0" distL="0" distR="0" wp14:anchorId="3A879970" wp14:editId="3265EE00">
            <wp:extent cx="3390265" cy="1524902"/>
            <wp:effectExtent l="0" t="0" r="635" b="0"/>
            <wp:docPr id="19595867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86700" name=""/>
                    <pic:cNvPicPr/>
                  </pic:nvPicPr>
                  <pic:blipFill>
                    <a:blip r:embed="rId9"/>
                    <a:stretch>
                      <a:fillRect/>
                    </a:stretch>
                  </pic:blipFill>
                  <pic:spPr>
                    <a:xfrm>
                      <a:off x="0" y="0"/>
                      <a:ext cx="3394534" cy="1526822"/>
                    </a:xfrm>
                    <a:prstGeom prst="rect">
                      <a:avLst/>
                    </a:prstGeom>
                  </pic:spPr>
                </pic:pic>
              </a:graphicData>
            </a:graphic>
          </wp:inline>
        </w:drawing>
      </w:r>
    </w:p>
    <w:p w14:paraId="6D914269" w14:textId="2F904F06" w:rsidR="00CB0814" w:rsidRPr="00CB0814" w:rsidRDefault="00CB0814" w:rsidP="00E1521D">
      <w:pPr>
        <w:shd w:val="clear" w:color="auto" w:fill="E8E8E8" w:themeFill="background2"/>
        <w:jc w:val="both"/>
        <w:rPr>
          <w:rFonts w:ascii="Cambria" w:hAnsi="Cambria"/>
          <w:b/>
          <w:bCs/>
        </w:rPr>
      </w:pPr>
      <w:r w:rsidRPr="00CB0814">
        <w:rPr>
          <w:rFonts w:ascii="Cambria" w:hAnsi="Cambria"/>
          <w:b/>
          <w:bCs/>
        </w:rPr>
        <w:t xml:space="preserve">Las características para la etiqueta adhesiva están claras. Lo que no se entiende, es la nota ** Alto o bajo relieve, grabado en laser de manera indeleble que no hace referencia a ningún </w:t>
      </w:r>
      <w:proofErr w:type="spellStart"/>
      <w:r w:rsidRPr="00CB0814">
        <w:rPr>
          <w:rFonts w:ascii="Cambria" w:hAnsi="Cambria"/>
          <w:b/>
          <w:bCs/>
        </w:rPr>
        <w:t>item</w:t>
      </w:r>
      <w:proofErr w:type="spellEnd"/>
      <w:r w:rsidRPr="00CB0814">
        <w:rPr>
          <w:rFonts w:ascii="Cambria" w:hAnsi="Cambria"/>
          <w:b/>
          <w:bCs/>
        </w:rPr>
        <w:t xml:space="preserve"> en el PDGT. </w:t>
      </w:r>
    </w:p>
    <w:p w14:paraId="0F816079" w14:textId="3A4E7C85" w:rsidR="00C94BCC" w:rsidRDefault="00CB0814" w:rsidP="00E1521D">
      <w:pPr>
        <w:shd w:val="clear" w:color="auto" w:fill="E8E8E8" w:themeFill="background2"/>
        <w:jc w:val="both"/>
        <w:rPr>
          <w:rFonts w:ascii="Cambria" w:hAnsi="Cambria"/>
          <w:b/>
          <w:bCs/>
        </w:rPr>
      </w:pPr>
      <w:proofErr w:type="gramStart"/>
      <w:r w:rsidRPr="00CB0814">
        <w:rPr>
          <w:rFonts w:ascii="Cambria" w:hAnsi="Cambria"/>
          <w:b/>
          <w:bCs/>
        </w:rPr>
        <w:t xml:space="preserve">¿Qué RAL es el requerido para entregar acorde al </w:t>
      </w:r>
      <w:proofErr w:type="spellStart"/>
      <w:r w:rsidRPr="00CB0814">
        <w:rPr>
          <w:rFonts w:ascii="Cambria" w:hAnsi="Cambria"/>
          <w:b/>
          <w:bCs/>
        </w:rPr>
        <w:t>item</w:t>
      </w:r>
      <w:proofErr w:type="spellEnd"/>
      <w:r w:rsidRPr="00CB0814">
        <w:rPr>
          <w:rFonts w:ascii="Cambria" w:hAnsi="Cambria"/>
          <w:b/>
          <w:bCs/>
        </w:rPr>
        <w:t xml:space="preserve"> 8.</w:t>
      </w:r>
      <w:proofErr w:type="gramEnd"/>
      <w:r w:rsidRPr="00CB0814">
        <w:rPr>
          <w:rFonts w:ascii="Cambria" w:hAnsi="Cambria"/>
          <w:b/>
          <w:bCs/>
        </w:rPr>
        <w:t>7 que solicita “amarillo lumínico”?</w:t>
      </w:r>
    </w:p>
    <w:p w14:paraId="419B365A" w14:textId="77777777" w:rsidR="006848F8" w:rsidRDefault="006848F8" w:rsidP="00E1521D">
      <w:pPr>
        <w:jc w:val="both"/>
        <w:rPr>
          <w:rFonts w:ascii="Cambria" w:hAnsi="Cambria"/>
          <w:b/>
          <w:bCs/>
        </w:rPr>
      </w:pPr>
    </w:p>
    <w:p w14:paraId="5299C29F" w14:textId="77777777" w:rsidR="008238CC" w:rsidRDefault="008238CC" w:rsidP="00E1521D">
      <w:pPr>
        <w:jc w:val="both"/>
        <w:rPr>
          <w:rFonts w:ascii="Cambria" w:hAnsi="Cambria"/>
          <w:i/>
          <w:iCs/>
        </w:rPr>
      </w:pPr>
      <w:r w:rsidRPr="00B040AB">
        <w:rPr>
          <w:rFonts w:ascii="Cambria" w:hAnsi="Cambria"/>
          <w:b/>
          <w:bCs/>
        </w:rPr>
        <w:lastRenderedPageBreak/>
        <w:t>Respuesta</w:t>
      </w:r>
      <w:r>
        <w:rPr>
          <w:rFonts w:ascii="Cambria" w:hAnsi="Cambria"/>
        </w:rPr>
        <w:t xml:space="preserve">: </w:t>
      </w:r>
    </w:p>
    <w:p w14:paraId="7BAB430B" w14:textId="43BB4D4A" w:rsidR="008238CC" w:rsidRDefault="00BC7DA0" w:rsidP="00E1521D">
      <w:pPr>
        <w:jc w:val="both"/>
        <w:rPr>
          <w:u w:val="single"/>
        </w:rPr>
      </w:pPr>
      <w:r>
        <w:rPr>
          <w:rFonts w:ascii="Cambria" w:hAnsi="Cambria"/>
          <w:color w:val="275317" w:themeColor="accent6" w:themeShade="80"/>
        </w:rPr>
        <w:t>Conforme a lo establecido en la PDGT, ítem 8.7 ´´</w:t>
      </w:r>
      <w:r w:rsidRPr="00BC7DA0">
        <w:rPr>
          <w:rFonts w:ascii="Cambria" w:hAnsi="Cambria"/>
          <w:color w:val="275317" w:themeColor="accent6" w:themeShade="80"/>
        </w:rPr>
        <w:t>Amarillo Lumínico</w:t>
      </w:r>
      <w:r>
        <w:rPr>
          <w:rFonts w:ascii="Cambria" w:hAnsi="Cambria"/>
          <w:color w:val="275317" w:themeColor="accent6" w:themeShade="80"/>
        </w:rPr>
        <w:t xml:space="preserve">´´ será el </w:t>
      </w:r>
      <w:r w:rsidR="00163086">
        <w:rPr>
          <w:rFonts w:ascii="Cambria" w:hAnsi="Cambria"/>
          <w:color w:val="275317" w:themeColor="accent6" w:themeShade="80"/>
        </w:rPr>
        <w:t>RAL 1026</w:t>
      </w:r>
      <w:r>
        <w:rPr>
          <w:rFonts w:ascii="Cambria" w:hAnsi="Cambria"/>
          <w:color w:val="275317" w:themeColor="accent6" w:themeShade="80"/>
        </w:rPr>
        <w:t xml:space="preserve">. </w:t>
      </w:r>
    </w:p>
    <w:p w14:paraId="0789F572" w14:textId="77777777" w:rsidR="008238CC" w:rsidRDefault="008238CC" w:rsidP="00E1521D">
      <w:pPr>
        <w:jc w:val="both"/>
        <w:rPr>
          <w:rFonts w:ascii="Cambria" w:hAnsi="Cambria"/>
          <w:b/>
          <w:bCs/>
        </w:rPr>
      </w:pPr>
    </w:p>
    <w:p w14:paraId="540538E2" w14:textId="77777777" w:rsidR="008238CC" w:rsidRDefault="008238CC" w:rsidP="00E1521D">
      <w:pPr>
        <w:jc w:val="both"/>
        <w:rPr>
          <w:rFonts w:ascii="Cambria" w:hAnsi="Cambria"/>
          <w:b/>
          <w:bCs/>
        </w:rPr>
      </w:pPr>
    </w:p>
    <w:p w14:paraId="6D4E1C11" w14:textId="77777777" w:rsidR="00F44FA3" w:rsidRPr="00E05294" w:rsidRDefault="00CF0DBB" w:rsidP="00E1521D">
      <w:pPr>
        <w:shd w:val="clear" w:color="auto" w:fill="E8E8E8" w:themeFill="background2"/>
        <w:jc w:val="both"/>
        <w:rPr>
          <w:rFonts w:ascii="Cambria" w:hAnsi="Cambria"/>
          <w:b/>
          <w:bCs/>
        </w:rPr>
      </w:pPr>
      <w:r w:rsidRPr="00E05294">
        <w:rPr>
          <w:rFonts w:ascii="Cambria" w:hAnsi="Cambria"/>
          <w:b/>
          <w:bCs/>
        </w:rPr>
        <w:t xml:space="preserve">Consulta No. 5.- </w:t>
      </w:r>
      <w:r w:rsidR="00F44FA3" w:rsidRPr="00E05294">
        <w:rPr>
          <w:rFonts w:ascii="Cambria" w:hAnsi="Cambria"/>
          <w:b/>
          <w:bCs/>
        </w:rPr>
        <w:t xml:space="preserve">Sobre PDGT luminarias con potencia de 30W hasta 240W: Ítem 1.15 línea 27 en Excel: </w:t>
      </w:r>
    </w:p>
    <w:p w14:paraId="6DD0455A" w14:textId="7C9129AC" w:rsidR="00F44FA3" w:rsidRPr="00E05294" w:rsidRDefault="00F44FA3" w:rsidP="00E1521D">
      <w:pPr>
        <w:shd w:val="clear" w:color="auto" w:fill="E8E8E8" w:themeFill="background2"/>
        <w:jc w:val="both"/>
        <w:rPr>
          <w:rFonts w:ascii="Cambria" w:hAnsi="Cambria"/>
          <w:b/>
          <w:bCs/>
        </w:rPr>
      </w:pPr>
      <w:r w:rsidRPr="00E05294">
        <w:rPr>
          <w:rFonts w:ascii="Cambria" w:hAnsi="Cambria"/>
          <w:b/>
          <w:bCs/>
        </w:rPr>
        <w:t xml:space="preserve">• Dice actualmente: "Protección contra niebla salina - Requerido, con resistencia a corrosión en grado C4, C4 es la abreviatura de Categoría 4 en la categoría de corrosividad definida en ISO 12944-2". </w:t>
      </w:r>
    </w:p>
    <w:p w14:paraId="6B95A010" w14:textId="77777777" w:rsidR="0013186D" w:rsidRPr="00E05294" w:rsidRDefault="00F44FA3" w:rsidP="00E1521D">
      <w:pPr>
        <w:shd w:val="clear" w:color="auto" w:fill="E8E8E8" w:themeFill="background2"/>
        <w:jc w:val="both"/>
        <w:rPr>
          <w:rFonts w:ascii="Cambria" w:hAnsi="Cambria"/>
          <w:b/>
          <w:bCs/>
        </w:rPr>
      </w:pPr>
      <w:r w:rsidRPr="00E05294">
        <w:rPr>
          <w:rFonts w:ascii="Cambria" w:hAnsi="Cambria"/>
          <w:b/>
          <w:bCs/>
        </w:rPr>
        <w:t xml:space="preserve">• Nuestra Solicitud: Solicitamos amablemente a este honorable Comité evaluar la posibilidad de enmendar este punto estableciendo: </w:t>
      </w:r>
    </w:p>
    <w:p w14:paraId="05BDB7BA" w14:textId="77777777" w:rsidR="0013186D" w:rsidRPr="00E05294" w:rsidRDefault="00F44FA3" w:rsidP="00E1521D">
      <w:pPr>
        <w:shd w:val="clear" w:color="auto" w:fill="E8E8E8" w:themeFill="background2"/>
        <w:jc w:val="both"/>
        <w:rPr>
          <w:rFonts w:ascii="Cambria" w:hAnsi="Cambria"/>
          <w:b/>
          <w:bCs/>
        </w:rPr>
      </w:pPr>
      <w:r w:rsidRPr="00E05294">
        <w:rPr>
          <w:rFonts w:ascii="Cambria" w:hAnsi="Cambria"/>
          <w:b/>
          <w:bCs/>
        </w:rPr>
        <w:t xml:space="preserve">- Eliminar la cita del entorno de la categoría de corrosividad C4 definida en la ISO12944-2 y solicitar 1000Hrs de protección de niebla salina bajo neutral </w:t>
      </w:r>
      <w:proofErr w:type="spellStart"/>
      <w:r w:rsidRPr="00E05294">
        <w:rPr>
          <w:rFonts w:ascii="Cambria" w:hAnsi="Cambria"/>
          <w:b/>
          <w:bCs/>
        </w:rPr>
        <w:t>salt</w:t>
      </w:r>
      <w:proofErr w:type="spellEnd"/>
      <w:r w:rsidRPr="00E05294">
        <w:rPr>
          <w:rFonts w:ascii="Cambria" w:hAnsi="Cambria"/>
          <w:b/>
          <w:bCs/>
        </w:rPr>
        <w:t xml:space="preserve"> spray con la ISO9227/ ASTM B117 </w:t>
      </w:r>
    </w:p>
    <w:p w14:paraId="04292936" w14:textId="662A7454" w:rsidR="008238CC" w:rsidRPr="00E05294" w:rsidRDefault="00F44FA3" w:rsidP="00E1521D">
      <w:pPr>
        <w:shd w:val="clear" w:color="auto" w:fill="E8E8E8" w:themeFill="background2"/>
        <w:jc w:val="both"/>
        <w:rPr>
          <w:rFonts w:ascii="Cambria" w:hAnsi="Cambria"/>
          <w:b/>
          <w:bCs/>
        </w:rPr>
      </w:pPr>
      <w:r w:rsidRPr="00E05294">
        <w:rPr>
          <w:rFonts w:ascii="Cambria" w:hAnsi="Cambria"/>
          <w:b/>
          <w:bCs/>
        </w:rPr>
        <w:t>“</w:t>
      </w:r>
      <w:proofErr w:type="spellStart"/>
      <w:r w:rsidRPr="00E05294">
        <w:rPr>
          <w:rFonts w:ascii="Cambria" w:hAnsi="Cambria"/>
          <w:b/>
          <w:bCs/>
        </w:rPr>
        <w:t>Corrosion</w:t>
      </w:r>
      <w:proofErr w:type="spellEnd"/>
      <w:r w:rsidRPr="00E05294">
        <w:rPr>
          <w:rFonts w:ascii="Cambria" w:hAnsi="Cambria"/>
          <w:b/>
          <w:bCs/>
        </w:rPr>
        <w:t xml:space="preserve"> </w:t>
      </w:r>
      <w:proofErr w:type="spellStart"/>
      <w:r w:rsidRPr="00E05294">
        <w:rPr>
          <w:rFonts w:ascii="Cambria" w:hAnsi="Cambria"/>
          <w:b/>
          <w:bCs/>
        </w:rPr>
        <w:t>tests</w:t>
      </w:r>
      <w:proofErr w:type="spellEnd"/>
      <w:r w:rsidRPr="00E05294">
        <w:rPr>
          <w:rFonts w:ascii="Cambria" w:hAnsi="Cambria"/>
          <w:b/>
          <w:bCs/>
        </w:rPr>
        <w:t xml:space="preserve"> in artificial </w:t>
      </w:r>
      <w:proofErr w:type="spellStart"/>
      <w:r w:rsidRPr="00E05294">
        <w:rPr>
          <w:rFonts w:ascii="Cambria" w:hAnsi="Cambria"/>
          <w:b/>
          <w:bCs/>
        </w:rPr>
        <w:t>atmospheres</w:t>
      </w:r>
      <w:proofErr w:type="spellEnd"/>
      <w:r w:rsidRPr="00E05294">
        <w:rPr>
          <w:rFonts w:ascii="Cambria" w:hAnsi="Cambria"/>
          <w:b/>
          <w:bCs/>
        </w:rPr>
        <w:t xml:space="preserve"> — Salt spray </w:t>
      </w:r>
      <w:proofErr w:type="spellStart"/>
      <w:r w:rsidRPr="00E05294">
        <w:rPr>
          <w:rFonts w:ascii="Cambria" w:hAnsi="Cambria"/>
          <w:b/>
          <w:bCs/>
        </w:rPr>
        <w:t>tests</w:t>
      </w:r>
      <w:proofErr w:type="spellEnd"/>
      <w:r w:rsidRPr="00E05294">
        <w:rPr>
          <w:rFonts w:ascii="Cambria" w:hAnsi="Cambria"/>
          <w:b/>
          <w:bCs/>
        </w:rPr>
        <w:t xml:space="preserve">” que si aplica para recubrimientos sobre piezas de aluminio. Evaluando estos resultados bajo las normas ISO4628-1:2016 / ASTM D1654 y ISO4628-2:2016 / ASTM D 714. Dando como resultado </w:t>
      </w:r>
      <w:proofErr w:type="spellStart"/>
      <w:r w:rsidRPr="00E05294">
        <w:rPr>
          <w:rFonts w:ascii="Cambria" w:hAnsi="Cambria"/>
          <w:b/>
          <w:bCs/>
        </w:rPr>
        <w:t>degree</w:t>
      </w:r>
      <w:proofErr w:type="spellEnd"/>
      <w:r w:rsidRPr="00E05294">
        <w:rPr>
          <w:rFonts w:ascii="Cambria" w:hAnsi="Cambria"/>
          <w:b/>
          <w:bCs/>
        </w:rPr>
        <w:t xml:space="preserve"> </w:t>
      </w:r>
      <w:proofErr w:type="spellStart"/>
      <w:r w:rsidRPr="00E05294">
        <w:rPr>
          <w:rFonts w:ascii="Cambria" w:hAnsi="Cambria"/>
          <w:b/>
          <w:bCs/>
        </w:rPr>
        <w:t>of</w:t>
      </w:r>
      <w:proofErr w:type="spellEnd"/>
      <w:r w:rsidRPr="00E05294">
        <w:rPr>
          <w:rFonts w:ascii="Cambria" w:hAnsi="Cambria"/>
          <w:b/>
          <w:bCs/>
        </w:rPr>
        <w:t xml:space="preserve"> rating 0 (ver tabla adjunta con resultados)</w:t>
      </w:r>
    </w:p>
    <w:p w14:paraId="592ADE63" w14:textId="4EEB0079" w:rsidR="00EC7F66" w:rsidRPr="00E05294" w:rsidRDefault="00F0326A" w:rsidP="00E1521D">
      <w:pPr>
        <w:shd w:val="clear" w:color="auto" w:fill="E8E8E8" w:themeFill="background2"/>
        <w:jc w:val="both"/>
        <w:rPr>
          <w:rFonts w:ascii="Cambria" w:hAnsi="Cambria"/>
          <w:b/>
          <w:bCs/>
        </w:rPr>
      </w:pPr>
      <w:r w:rsidRPr="00E05294">
        <w:rPr>
          <w:rFonts w:ascii="Cambria" w:hAnsi="Cambria"/>
          <w:b/>
          <w:bCs/>
          <w:noProof/>
          <w:lang w:val="es-ES" w:eastAsia="es-ES"/>
        </w:rPr>
        <w:drawing>
          <wp:inline distT="0" distB="0" distL="0" distR="0" wp14:anchorId="287E102E" wp14:editId="3C36F76B">
            <wp:extent cx="5400040" cy="3119120"/>
            <wp:effectExtent l="0" t="0" r="0" b="5080"/>
            <wp:docPr id="5359093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909315" name=""/>
                    <pic:cNvPicPr/>
                  </pic:nvPicPr>
                  <pic:blipFill>
                    <a:blip r:embed="rId10"/>
                    <a:stretch>
                      <a:fillRect/>
                    </a:stretch>
                  </pic:blipFill>
                  <pic:spPr>
                    <a:xfrm>
                      <a:off x="0" y="0"/>
                      <a:ext cx="5400040" cy="3119120"/>
                    </a:xfrm>
                    <a:prstGeom prst="rect">
                      <a:avLst/>
                    </a:prstGeom>
                  </pic:spPr>
                </pic:pic>
              </a:graphicData>
            </a:graphic>
          </wp:inline>
        </w:drawing>
      </w:r>
    </w:p>
    <w:p w14:paraId="5E2F4A10" w14:textId="33045B10" w:rsidR="00EC7F66" w:rsidRDefault="006241A3" w:rsidP="00E1521D">
      <w:pPr>
        <w:shd w:val="clear" w:color="auto" w:fill="E8E8E8" w:themeFill="background2"/>
        <w:jc w:val="both"/>
        <w:rPr>
          <w:rFonts w:ascii="Cambria" w:hAnsi="Cambria"/>
          <w:b/>
          <w:bCs/>
        </w:rPr>
      </w:pPr>
      <w:r w:rsidRPr="00E05294">
        <w:rPr>
          <w:rFonts w:ascii="Cambria" w:hAnsi="Cambria"/>
          <w:b/>
          <w:bCs/>
        </w:rPr>
        <w:t xml:space="preserve">• Justificación: El grado de protección C4 bajo ISO 12944-2 aplica para pinturas sobre estructuras de acero y considerando el material constructivo solicitado en el </w:t>
      </w:r>
      <w:proofErr w:type="spellStart"/>
      <w:r w:rsidRPr="00E05294">
        <w:rPr>
          <w:rFonts w:ascii="Cambria" w:hAnsi="Cambria"/>
          <w:b/>
          <w:bCs/>
        </w:rPr>
        <w:t>item</w:t>
      </w:r>
      <w:proofErr w:type="spellEnd"/>
      <w:r w:rsidRPr="00E05294">
        <w:rPr>
          <w:rFonts w:ascii="Cambria" w:hAnsi="Cambria"/>
          <w:b/>
          <w:bCs/>
        </w:rPr>
        <w:t xml:space="preserve"> 1.5, esto no aplicaría al material constructivo de la luminaria que es aluminio.</w:t>
      </w:r>
    </w:p>
    <w:p w14:paraId="451FE85C" w14:textId="5A98FB91" w:rsidR="008238CC" w:rsidRDefault="006241A3" w:rsidP="00E1521D">
      <w:pPr>
        <w:jc w:val="both"/>
        <w:rPr>
          <w:rFonts w:ascii="Cambria" w:hAnsi="Cambria"/>
          <w:b/>
          <w:bCs/>
        </w:rPr>
      </w:pPr>
      <w:r w:rsidRPr="006241A3">
        <w:rPr>
          <w:rFonts w:ascii="Cambria" w:hAnsi="Cambria"/>
          <w:b/>
          <w:bCs/>
          <w:noProof/>
          <w:lang w:val="es-ES" w:eastAsia="es-ES"/>
        </w:rPr>
        <w:lastRenderedPageBreak/>
        <w:drawing>
          <wp:inline distT="0" distB="0" distL="0" distR="0" wp14:anchorId="39F7D187" wp14:editId="45BBC5B6">
            <wp:extent cx="5400040" cy="3876675"/>
            <wp:effectExtent l="0" t="0" r="0" b="9525"/>
            <wp:docPr id="12900287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28786" name=""/>
                    <pic:cNvPicPr/>
                  </pic:nvPicPr>
                  <pic:blipFill>
                    <a:blip r:embed="rId11"/>
                    <a:stretch>
                      <a:fillRect/>
                    </a:stretch>
                  </pic:blipFill>
                  <pic:spPr>
                    <a:xfrm>
                      <a:off x="0" y="0"/>
                      <a:ext cx="5400040" cy="3876675"/>
                    </a:xfrm>
                    <a:prstGeom prst="rect">
                      <a:avLst/>
                    </a:prstGeom>
                  </pic:spPr>
                </pic:pic>
              </a:graphicData>
            </a:graphic>
          </wp:inline>
        </w:drawing>
      </w:r>
    </w:p>
    <w:p w14:paraId="00DED7A3" w14:textId="77777777" w:rsidR="0022029D" w:rsidRDefault="0022029D" w:rsidP="00E1521D">
      <w:pPr>
        <w:jc w:val="both"/>
        <w:rPr>
          <w:rFonts w:ascii="Cambria" w:hAnsi="Cambria"/>
          <w:i/>
          <w:iCs/>
        </w:rPr>
      </w:pPr>
      <w:r w:rsidRPr="00B040AB">
        <w:rPr>
          <w:rFonts w:ascii="Cambria" w:hAnsi="Cambria"/>
          <w:b/>
          <w:bCs/>
        </w:rPr>
        <w:t>Respuesta</w:t>
      </w:r>
      <w:r>
        <w:rPr>
          <w:rFonts w:ascii="Cambria" w:hAnsi="Cambria"/>
        </w:rPr>
        <w:t xml:space="preserve">: </w:t>
      </w:r>
    </w:p>
    <w:p w14:paraId="35732101" w14:textId="2854B1BB" w:rsidR="0022029D" w:rsidRPr="00E05294" w:rsidRDefault="00E05294" w:rsidP="00E1521D">
      <w:pPr>
        <w:jc w:val="both"/>
        <w:rPr>
          <w:rFonts w:ascii="Cambria" w:hAnsi="Cambria"/>
          <w:color w:val="275317" w:themeColor="accent6" w:themeShade="80"/>
        </w:rPr>
      </w:pPr>
      <w:r w:rsidRPr="00E05294">
        <w:rPr>
          <w:rFonts w:ascii="Cambria" w:hAnsi="Cambria"/>
          <w:color w:val="275317" w:themeColor="accent6" w:themeShade="80"/>
        </w:rPr>
        <w:t>Hay que tener en cuenta que los métodos de ensayo para la norma ISO 12944-2 incluye las normas ISO 9227 e ISO 6270-1(condensación de agua), cuyos métodos de ensayo se describen en la norma ISO 12944-6. Ambas normas son aplicables a todos los metales, incluido el aluminio. El rango de durabilidad no debe ser inferior a C4 medio.</w:t>
      </w:r>
    </w:p>
    <w:p w14:paraId="415CF046" w14:textId="77777777" w:rsidR="00E05294" w:rsidRDefault="00E05294" w:rsidP="00E1521D">
      <w:pPr>
        <w:jc w:val="both"/>
        <w:rPr>
          <w:u w:val="single"/>
        </w:rPr>
      </w:pPr>
    </w:p>
    <w:p w14:paraId="1CC6014F" w14:textId="77777777" w:rsidR="0022029D" w:rsidRDefault="0022029D" w:rsidP="00E1521D">
      <w:pPr>
        <w:jc w:val="both"/>
        <w:rPr>
          <w:u w:val="single"/>
        </w:rPr>
      </w:pPr>
    </w:p>
    <w:p w14:paraId="732CE67F" w14:textId="77777777" w:rsidR="0022029D" w:rsidRDefault="0022029D" w:rsidP="00E1521D">
      <w:pPr>
        <w:jc w:val="both"/>
        <w:rPr>
          <w:rFonts w:ascii="Cambria" w:hAnsi="Cambria"/>
          <w:b/>
          <w:bCs/>
        </w:rPr>
      </w:pPr>
      <w:r>
        <w:rPr>
          <w:u w:val="single"/>
        </w:rPr>
        <w:tab/>
      </w:r>
      <w:r>
        <w:rPr>
          <w:u w:val="single"/>
        </w:rPr>
        <w:tab/>
      </w:r>
      <w:r>
        <w:rPr>
          <w:u w:val="single"/>
        </w:rPr>
        <w:tab/>
      </w:r>
      <w:r>
        <w:rPr>
          <w:u w:val="single"/>
        </w:rPr>
        <w:tab/>
      </w:r>
    </w:p>
    <w:p w14:paraId="3B7159D0" w14:textId="5A3DFBB0" w:rsidR="002D2CFA" w:rsidRPr="001B425B" w:rsidRDefault="002348AC" w:rsidP="00E1521D">
      <w:pPr>
        <w:shd w:val="clear" w:color="auto" w:fill="E8E8E8" w:themeFill="background2"/>
        <w:jc w:val="both"/>
        <w:rPr>
          <w:rFonts w:ascii="Cambria" w:hAnsi="Cambria"/>
          <w:b/>
          <w:bCs/>
        </w:rPr>
      </w:pPr>
      <w:r w:rsidRPr="001B425B">
        <w:rPr>
          <w:rFonts w:ascii="Cambria" w:hAnsi="Cambria"/>
          <w:b/>
          <w:bCs/>
        </w:rPr>
        <w:t xml:space="preserve">Consulta No. 6.- </w:t>
      </w:r>
      <w:r w:rsidR="002D2CFA" w:rsidRPr="001B425B">
        <w:rPr>
          <w:rFonts w:ascii="Cambria" w:hAnsi="Cambria"/>
          <w:b/>
          <w:bCs/>
        </w:rPr>
        <w:t xml:space="preserve">Sobre PDGT luminarias con potencia de 30W hasta 240W: Ítem 2.1 línea 30 en Excel en conflicto con el </w:t>
      </w:r>
      <w:proofErr w:type="spellStart"/>
      <w:r w:rsidR="002D2CFA" w:rsidRPr="001B425B">
        <w:rPr>
          <w:rFonts w:ascii="Cambria" w:hAnsi="Cambria"/>
          <w:b/>
          <w:bCs/>
        </w:rPr>
        <w:t>item</w:t>
      </w:r>
      <w:proofErr w:type="spellEnd"/>
      <w:r w:rsidR="002D2CFA" w:rsidRPr="001B425B">
        <w:rPr>
          <w:rFonts w:ascii="Cambria" w:hAnsi="Cambria"/>
          <w:b/>
          <w:bCs/>
        </w:rPr>
        <w:t xml:space="preserve"> 2.9 </w:t>
      </w:r>
      <w:proofErr w:type="spellStart"/>
      <w:r w:rsidR="002D2CFA" w:rsidRPr="001B425B">
        <w:rPr>
          <w:rFonts w:ascii="Cambria" w:hAnsi="Cambria"/>
          <w:b/>
          <w:bCs/>
        </w:rPr>
        <w:t>linea</w:t>
      </w:r>
      <w:proofErr w:type="spellEnd"/>
      <w:r w:rsidR="002D2CFA" w:rsidRPr="001B425B">
        <w:rPr>
          <w:rFonts w:ascii="Cambria" w:hAnsi="Cambria"/>
          <w:b/>
          <w:bCs/>
        </w:rPr>
        <w:t xml:space="preserve"> 38 en Excel y agregar el punto </w:t>
      </w:r>
      <w:proofErr w:type="spellStart"/>
      <w:r w:rsidR="002D2CFA" w:rsidRPr="001B425B">
        <w:rPr>
          <w:rFonts w:ascii="Cambria" w:hAnsi="Cambria"/>
          <w:b/>
          <w:bCs/>
        </w:rPr>
        <w:t>darksky</w:t>
      </w:r>
      <w:proofErr w:type="spellEnd"/>
      <w:r w:rsidR="002D2CFA" w:rsidRPr="001B425B">
        <w:rPr>
          <w:rFonts w:ascii="Cambria" w:hAnsi="Cambria"/>
          <w:b/>
          <w:bCs/>
        </w:rPr>
        <w:t xml:space="preserve">: </w:t>
      </w:r>
    </w:p>
    <w:p w14:paraId="45E203B3" w14:textId="1465BFB3" w:rsidR="002D2CFA" w:rsidRPr="001B425B" w:rsidRDefault="002D2CFA" w:rsidP="00E1521D">
      <w:pPr>
        <w:shd w:val="clear" w:color="auto" w:fill="E8E8E8" w:themeFill="background2"/>
        <w:jc w:val="both"/>
        <w:rPr>
          <w:rFonts w:ascii="Cambria" w:hAnsi="Cambria"/>
          <w:b/>
          <w:bCs/>
        </w:rPr>
      </w:pPr>
      <w:r w:rsidRPr="001B425B">
        <w:rPr>
          <w:rFonts w:ascii="Cambria" w:hAnsi="Cambria"/>
          <w:b/>
          <w:bCs/>
        </w:rPr>
        <w:t xml:space="preserve">• Dice actualmente: "Dispersión de flujo hacia hemisferio superior" con un rango de valores de 0-5.  </w:t>
      </w:r>
    </w:p>
    <w:p w14:paraId="65E0AAB2" w14:textId="31A4772E" w:rsidR="002D2CFA" w:rsidRPr="001B425B" w:rsidRDefault="002D2CFA" w:rsidP="00E1521D">
      <w:pPr>
        <w:shd w:val="clear" w:color="auto" w:fill="E8E8E8" w:themeFill="background2"/>
        <w:jc w:val="both"/>
        <w:rPr>
          <w:rFonts w:ascii="Cambria" w:hAnsi="Cambria"/>
          <w:b/>
          <w:bCs/>
        </w:rPr>
      </w:pPr>
      <w:r w:rsidRPr="001B425B">
        <w:rPr>
          <w:rFonts w:ascii="Cambria" w:hAnsi="Cambria"/>
          <w:b/>
          <w:bCs/>
        </w:rPr>
        <w:t xml:space="preserve">• Nuestra Solicitud: Solicitamos amablemente a este honorable Comité evaluar la posibilidad de enmendar este punto estableciendo: - Solicitar valor 0% hacia el hemisferio superior (ángulo ≥ 90° respecto al nadir). </w:t>
      </w:r>
    </w:p>
    <w:p w14:paraId="3761C2B5" w14:textId="29F3238F" w:rsidR="002D2CFA" w:rsidRPr="001B425B" w:rsidRDefault="002D2CFA" w:rsidP="00E1521D">
      <w:pPr>
        <w:shd w:val="clear" w:color="auto" w:fill="E8E8E8" w:themeFill="background2"/>
        <w:jc w:val="both"/>
        <w:rPr>
          <w:rFonts w:ascii="Cambria" w:hAnsi="Cambria"/>
          <w:b/>
          <w:bCs/>
        </w:rPr>
      </w:pPr>
      <w:r w:rsidRPr="001B425B">
        <w:rPr>
          <w:rFonts w:ascii="Cambria" w:hAnsi="Cambria"/>
          <w:b/>
          <w:bCs/>
        </w:rPr>
        <w:t xml:space="preserve">• Justificación: El </w:t>
      </w:r>
      <w:proofErr w:type="spellStart"/>
      <w:r w:rsidRPr="001B425B">
        <w:rPr>
          <w:rFonts w:ascii="Cambria" w:hAnsi="Cambria"/>
          <w:b/>
          <w:bCs/>
        </w:rPr>
        <w:t>item</w:t>
      </w:r>
      <w:proofErr w:type="spellEnd"/>
      <w:r w:rsidRPr="001B425B">
        <w:rPr>
          <w:rFonts w:ascii="Cambria" w:hAnsi="Cambria"/>
          <w:b/>
          <w:bCs/>
        </w:rPr>
        <w:t xml:space="preserve"> 1.16 solicita: “La luminaria debe estar aprobada por </w:t>
      </w:r>
      <w:proofErr w:type="spellStart"/>
      <w:r w:rsidRPr="001B425B">
        <w:rPr>
          <w:rFonts w:ascii="Cambria" w:hAnsi="Cambria"/>
          <w:b/>
          <w:bCs/>
        </w:rPr>
        <w:t>DarkSky</w:t>
      </w:r>
      <w:proofErr w:type="spellEnd"/>
      <w:r w:rsidRPr="001B425B">
        <w:rPr>
          <w:rFonts w:ascii="Cambria" w:hAnsi="Cambria"/>
          <w:b/>
          <w:bCs/>
        </w:rPr>
        <w:t xml:space="preserve"> para demostrar que es una luminaria respetuosa con el medio ambiente. La marca del fabricante y la luminaria deben ser reconocidas por </w:t>
      </w:r>
      <w:proofErr w:type="spellStart"/>
      <w:r w:rsidRPr="001B425B">
        <w:rPr>
          <w:rFonts w:ascii="Cambria" w:hAnsi="Cambria"/>
          <w:b/>
          <w:bCs/>
        </w:rPr>
        <w:t>DarkSky</w:t>
      </w:r>
      <w:proofErr w:type="spellEnd"/>
      <w:r w:rsidRPr="001B425B">
        <w:rPr>
          <w:rFonts w:ascii="Cambria" w:hAnsi="Cambria"/>
          <w:b/>
          <w:bCs/>
        </w:rPr>
        <w:t xml:space="preserve"> International.” </w:t>
      </w:r>
    </w:p>
    <w:p w14:paraId="49A3AD8B" w14:textId="5DBD509E" w:rsidR="002D2CFA" w:rsidRPr="001B425B" w:rsidRDefault="002D2CFA" w:rsidP="00E1521D">
      <w:pPr>
        <w:shd w:val="clear" w:color="auto" w:fill="E8E8E8" w:themeFill="background2"/>
        <w:jc w:val="both"/>
        <w:rPr>
          <w:rFonts w:ascii="Cambria" w:hAnsi="Cambria"/>
          <w:b/>
          <w:bCs/>
        </w:rPr>
      </w:pPr>
      <w:r w:rsidRPr="001B425B">
        <w:rPr>
          <w:rFonts w:ascii="Cambria" w:hAnsi="Cambria"/>
          <w:b/>
          <w:bCs/>
        </w:rPr>
        <w:t xml:space="preserve">Una luminaria con aprobación </w:t>
      </w:r>
      <w:proofErr w:type="spellStart"/>
      <w:r w:rsidRPr="001B425B">
        <w:rPr>
          <w:rFonts w:ascii="Cambria" w:hAnsi="Cambria"/>
          <w:b/>
          <w:bCs/>
        </w:rPr>
        <w:t>DarkSky</w:t>
      </w:r>
      <w:proofErr w:type="spellEnd"/>
      <w:r w:rsidRPr="001B425B">
        <w:rPr>
          <w:rFonts w:ascii="Cambria" w:hAnsi="Cambria"/>
          <w:b/>
          <w:bCs/>
        </w:rPr>
        <w:t xml:space="preserve"> no puede contar con un valor superior a 0% para la sigla U en la clasificación BUG.   </w:t>
      </w:r>
    </w:p>
    <w:p w14:paraId="5E633E8D" w14:textId="77777777" w:rsidR="00D65397" w:rsidRPr="001B425B" w:rsidRDefault="002D2CFA" w:rsidP="00E1521D">
      <w:pPr>
        <w:shd w:val="clear" w:color="auto" w:fill="E8E8E8" w:themeFill="background2"/>
        <w:jc w:val="both"/>
        <w:rPr>
          <w:rFonts w:ascii="Cambria" w:hAnsi="Cambria"/>
          <w:b/>
          <w:bCs/>
        </w:rPr>
      </w:pPr>
      <w:r w:rsidRPr="001B425B">
        <w:rPr>
          <w:rFonts w:ascii="Cambria" w:hAnsi="Cambria"/>
          <w:b/>
          <w:bCs/>
        </w:rPr>
        <w:t xml:space="preserve">*En cumplimiento con IES TM-15-20 </w:t>
      </w:r>
    </w:p>
    <w:p w14:paraId="652356BF" w14:textId="17AA1A4A" w:rsidR="002D2CFA" w:rsidRPr="001B425B" w:rsidRDefault="002D2CFA" w:rsidP="00E1521D">
      <w:pPr>
        <w:shd w:val="clear" w:color="auto" w:fill="E8E8E8" w:themeFill="background2"/>
        <w:jc w:val="both"/>
        <w:rPr>
          <w:rFonts w:ascii="Cambria" w:hAnsi="Cambria"/>
          <w:b/>
          <w:bCs/>
        </w:rPr>
      </w:pPr>
      <w:r w:rsidRPr="001B425B">
        <w:rPr>
          <w:rFonts w:ascii="Cambria" w:hAnsi="Cambria"/>
          <w:b/>
          <w:bCs/>
        </w:rPr>
        <w:lastRenderedPageBreak/>
        <w:t xml:space="preserve">• Para que una luminaria sea genuinamente </w:t>
      </w:r>
      <w:proofErr w:type="spellStart"/>
      <w:r w:rsidRPr="001B425B">
        <w:rPr>
          <w:rFonts w:ascii="Cambria" w:hAnsi="Cambria"/>
          <w:b/>
          <w:bCs/>
        </w:rPr>
        <w:t>DarkSky</w:t>
      </w:r>
      <w:proofErr w:type="spellEnd"/>
      <w:r w:rsidRPr="001B425B">
        <w:rPr>
          <w:rFonts w:ascii="Cambria" w:hAnsi="Cambria"/>
          <w:b/>
          <w:bCs/>
        </w:rPr>
        <w:t xml:space="preserve">, no basta con cumplir un rango; debe cumplir con la física de la nula emisión de luz hacia arriba. El argumento se resume en tres puntos críticos: </w:t>
      </w:r>
    </w:p>
    <w:p w14:paraId="30871213" w14:textId="2F33C3C7" w:rsidR="002D2CFA" w:rsidRPr="001B425B" w:rsidRDefault="002D2CFA" w:rsidP="00E1521D">
      <w:pPr>
        <w:shd w:val="clear" w:color="auto" w:fill="E8E8E8" w:themeFill="background2"/>
        <w:jc w:val="both"/>
        <w:rPr>
          <w:rFonts w:ascii="Cambria" w:hAnsi="Cambria"/>
          <w:b/>
          <w:bCs/>
        </w:rPr>
      </w:pPr>
      <w:r w:rsidRPr="001B425B">
        <w:rPr>
          <w:rFonts w:ascii="Cambria" w:hAnsi="Cambria"/>
          <w:b/>
          <w:bCs/>
        </w:rPr>
        <w:t>• Incompatibilidad del Valor U &gt; 0: El rango 0-5 de la licitación hace referencia a la escala U (</w:t>
      </w:r>
      <w:proofErr w:type="spellStart"/>
      <w:r w:rsidRPr="001B425B">
        <w:rPr>
          <w:rFonts w:ascii="Cambria" w:hAnsi="Cambria"/>
          <w:b/>
          <w:bCs/>
        </w:rPr>
        <w:t>Uplight</w:t>
      </w:r>
      <w:proofErr w:type="spellEnd"/>
      <w:r w:rsidRPr="001B425B">
        <w:rPr>
          <w:rFonts w:ascii="Cambria" w:hAnsi="Cambria"/>
          <w:b/>
          <w:bCs/>
        </w:rPr>
        <w:t xml:space="preserve">) del sistema BUG. La certificación </w:t>
      </w:r>
      <w:proofErr w:type="spellStart"/>
      <w:r w:rsidRPr="001B425B">
        <w:rPr>
          <w:rFonts w:ascii="Cambria" w:hAnsi="Cambria"/>
          <w:b/>
          <w:bCs/>
        </w:rPr>
        <w:t>DarkSky</w:t>
      </w:r>
      <w:proofErr w:type="spellEnd"/>
      <w:r w:rsidRPr="001B425B">
        <w:rPr>
          <w:rFonts w:ascii="Cambria" w:hAnsi="Cambria"/>
          <w:b/>
          <w:bCs/>
        </w:rPr>
        <w:t xml:space="preserve"> exige estrictamente un valor de U0. Cualquier valor superior (1 a 5) significa que la luminaria emite luz al cielo, lo que invalida técnica y legalmente la certificación solicitada. </w:t>
      </w:r>
    </w:p>
    <w:p w14:paraId="4E3BB6DE" w14:textId="2622CEB3" w:rsidR="002D2CFA" w:rsidRPr="001B425B" w:rsidRDefault="002D2CFA" w:rsidP="00E1521D">
      <w:pPr>
        <w:shd w:val="clear" w:color="auto" w:fill="E8E8E8" w:themeFill="background2"/>
        <w:jc w:val="both"/>
        <w:rPr>
          <w:rFonts w:ascii="Cambria" w:hAnsi="Cambria"/>
          <w:b/>
          <w:bCs/>
        </w:rPr>
      </w:pPr>
      <w:r w:rsidRPr="001B425B">
        <w:rPr>
          <w:rFonts w:ascii="Cambria" w:hAnsi="Cambria"/>
          <w:b/>
          <w:bCs/>
        </w:rPr>
        <w:t xml:space="preserve">• El Factor Crítico del "Tilt" (Inclinación): Una luminaria solo es </w:t>
      </w:r>
      <w:proofErr w:type="spellStart"/>
      <w:r w:rsidRPr="001B425B">
        <w:rPr>
          <w:rFonts w:ascii="Cambria" w:hAnsi="Cambria"/>
          <w:b/>
          <w:bCs/>
        </w:rPr>
        <w:t>DarkSky</w:t>
      </w:r>
      <w:proofErr w:type="spellEnd"/>
      <w:r w:rsidRPr="001B425B">
        <w:rPr>
          <w:rFonts w:ascii="Cambria" w:hAnsi="Cambria"/>
          <w:b/>
          <w:bCs/>
        </w:rPr>
        <w:t xml:space="preserve"> si se instala a 0° de inclinación. Si el brazo o la luminaria se inclinan (aunque sea 5° o 10°), la óptica se rompe y la luz se dispara hacia el horizonte y el cielo. Por tanto, permitir un rango de 0-5 o permitir inclinación en el montaje anula el propósito ambiental del pliego. </w:t>
      </w:r>
    </w:p>
    <w:p w14:paraId="2C8BABF7" w14:textId="581AC256" w:rsidR="0022029D" w:rsidRPr="001B425B" w:rsidRDefault="002D2CFA" w:rsidP="00E1521D">
      <w:pPr>
        <w:shd w:val="clear" w:color="auto" w:fill="E8E8E8" w:themeFill="background2"/>
        <w:jc w:val="both"/>
        <w:rPr>
          <w:rFonts w:ascii="Cambria" w:hAnsi="Cambria"/>
          <w:b/>
          <w:bCs/>
        </w:rPr>
      </w:pPr>
      <w:r w:rsidRPr="001B425B">
        <w:rPr>
          <w:rFonts w:ascii="Cambria" w:hAnsi="Cambria"/>
          <w:b/>
          <w:bCs/>
        </w:rPr>
        <w:t>• RECOMENDACIÓN: Para mantener la certificación de DARKSKY en este proyecto y no contaminar lumínicamente hacia arriba y cuidando la flora y fauna, se recomienda eliminar el grado de inclinación de la luminaria o TILT de +/-20° y la dispersión hacia el hemisferio superior con rango de 0-5</w:t>
      </w:r>
      <w:r w:rsidR="00F07259">
        <w:rPr>
          <w:rFonts w:ascii="Cambria" w:hAnsi="Cambria"/>
          <w:b/>
          <w:bCs/>
        </w:rPr>
        <w:t>.</w:t>
      </w:r>
    </w:p>
    <w:p w14:paraId="2F9B88BD" w14:textId="77777777" w:rsidR="001B425B" w:rsidRDefault="001B425B" w:rsidP="00F07259">
      <w:pPr>
        <w:jc w:val="both"/>
        <w:rPr>
          <w:rFonts w:ascii="Cambria" w:hAnsi="Cambria"/>
          <w:b/>
          <w:bCs/>
        </w:rPr>
      </w:pPr>
    </w:p>
    <w:p w14:paraId="1D5CB05C" w14:textId="79904B09" w:rsidR="001A247A" w:rsidRPr="00F07259" w:rsidRDefault="001A247A" w:rsidP="00F07259">
      <w:pPr>
        <w:jc w:val="both"/>
        <w:rPr>
          <w:rFonts w:ascii="Cambria" w:hAnsi="Cambria"/>
          <w:b/>
          <w:bCs/>
        </w:rPr>
      </w:pPr>
      <w:r w:rsidRPr="00F07259">
        <w:rPr>
          <w:rFonts w:ascii="Cambria" w:hAnsi="Cambria"/>
          <w:b/>
          <w:bCs/>
          <w:highlight w:val="green"/>
        </w:rPr>
        <w:t>Respuesta:</w:t>
      </w:r>
      <w:r w:rsidRPr="00F07259">
        <w:rPr>
          <w:rFonts w:ascii="Cambria" w:hAnsi="Cambria"/>
          <w:b/>
          <w:bCs/>
        </w:rPr>
        <w:t xml:space="preserve"> </w:t>
      </w:r>
    </w:p>
    <w:p w14:paraId="2E038431" w14:textId="415BD665" w:rsidR="001A247A" w:rsidRDefault="00D9629E" w:rsidP="00E1521D">
      <w:pPr>
        <w:jc w:val="both"/>
        <w:rPr>
          <w:u w:val="single"/>
        </w:rPr>
      </w:pPr>
      <w:r w:rsidRPr="001B425B">
        <w:rPr>
          <w:rFonts w:ascii="Cambria" w:hAnsi="Cambria"/>
          <w:color w:val="275317" w:themeColor="accent6" w:themeShade="80"/>
        </w:rPr>
        <w:t>No se considera</w:t>
      </w:r>
      <w:r w:rsidR="00F07259">
        <w:rPr>
          <w:rFonts w:ascii="Cambria" w:hAnsi="Cambria"/>
          <w:color w:val="275317" w:themeColor="accent6" w:themeShade="80"/>
        </w:rPr>
        <w:t>rá</w:t>
      </w:r>
      <w:r w:rsidRPr="001B425B">
        <w:rPr>
          <w:rFonts w:ascii="Cambria" w:hAnsi="Cambria"/>
          <w:color w:val="275317" w:themeColor="accent6" w:themeShade="80"/>
        </w:rPr>
        <w:t xml:space="preserve"> la certificación </w:t>
      </w:r>
      <w:proofErr w:type="spellStart"/>
      <w:r w:rsidRPr="001B425B">
        <w:rPr>
          <w:rFonts w:ascii="Cambria" w:hAnsi="Cambria"/>
          <w:color w:val="275317" w:themeColor="accent6" w:themeShade="80"/>
        </w:rPr>
        <w:t>DarkSky</w:t>
      </w:r>
      <w:proofErr w:type="spellEnd"/>
      <w:r w:rsidRPr="001B425B">
        <w:rPr>
          <w:rFonts w:ascii="Cambria" w:hAnsi="Cambria"/>
          <w:color w:val="275317" w:themeColor="accent6" w:themeShade="80"/>
        </w:rPr>
        <w:t xml:space="preserve"> como requisito del producto</w:t>
      </w:r>
      <w:r w:rsidR="001B425B" w:rsidRPr="001B425B">
        <w:rPr>
          <w:rFonts w:ascii="Cambria" w:hAnsi="Cambria"/>
          <w:color w:val="275317" w:themeColor="accent6" w:themeShade="80"/>
        </w:rPr>
        <w:t>.</w:t>
      </w:r>
      <w:r w:rsidR="001B425B">
        <w:rPr>
          <w:rFonts w:ascii="Cambria" w:hAnsi="Cambria"/>
          <w:color w:val="275317" w:themeColor="accent6" w:themeShade="80"/>
        </w:rPr>
        <w:t xml:space="preserve"> </w:t>
      </w:r>
    </w:p>
    <w:p w14:paraId="57F32A95" w14:textId="77777777" w:rsidR="001A247A" w:rsidRDefault="001A247A" w:rsidP="00E1521D">
      <w:pPr>
        <w:jc w:val="both"/>
        <w:rPr>
          <w:u w:val="single"/>
        </w:rPr>
      </w:pPr>
    </w:p>
    <w:p w14:paraId="26B58DB7" w14:textId="77777777" w:rsidR="001A247A" w:rsidRDefault="001A247A" w:rsidP="00E1521D">
      <w:pPr>
        <w:jc w:val="both"/>
        <w:rPr>
          <w:u w:val="single"/>
        </w:rPr>
      </w:pPr>
    </w:p>
    <w:p w14:paraId="1E0A7B6D" w14:textId="77777777" w:rsidR="001A247A" w:rsidRDefault="001A247A" w:rsidP="00E1521D">
      <w:pPr>
        <w:jc w:val="both"/>
        <w:rPr>
          <w:rFonts w:ascii="Cambria" w:hAnsi="Cambria"/>
          <w:b/>
          <w:bCs/>
        </w:rPr>
      </w:pPr>
      <w:r>
        <w:rPr>
          <w:u w:val="single"/>
        </w:rPr>
        <w:tab/>
      </w:r>
      <w:r>
        <w:rPr>
          <w:u w:val="single"/>
        </w:rPr>
        <w:tab/>
      </w:r>
      <w:r>
        <w:rPr>
          <w:u w:val="single"/>
        </w:rPr>
        <w:tab/>
      </w:r>
      <w:r>
        <w:rPr>
          <w:u w:val="single"/>
        </w:rPr>
        <w:tab/>
      </w:r>
    </w:p>
    <w:p w14:paraId="327B7ADF" w14:textId="77777777" w:rsidR="00012D3C" w:rsidRPr="00E05294" w:rsidRDefault="001A247A" w:rsidP="00E1521D">
      <w:pPr>
        <w:shd w:val="clear" w:color="auto" w:fill="E8E8E8" w:themeFill="background2"/>
        <w:jc w:val="both"/>
        <w:rPr>
          <w:rFonts w:ascii="Cambria" w:hAnsi="Cambria"/>
          <w:b/>
          <w:bCs/>
        </w:rPr>
      </w:pPr>
      <w:r w:rsidRPr="00E05294">
        <w:rPr>
          <w:rFonts w:ascii="Cambria" w:hAnsi="Cambria"/>
          <w:b/>
          <w:bCs/>
        </w:rPr>
        <w:t xml:space="preserve">Consulta No. 7.- </w:t>
      </w:r>
      <w:r w:rsidR="00012D3C" w:rsidRPr="00E05294">
        <w:rPr>
          <w:rFonts w:ascii="Cambria" w:hAnsi="Cambria"/>
          <w:b/>
          <w:bCs/>
        </w:rPr>
        <w:t xml:space="preserve">Sobre PDGT luminarias con potencia de 30W hasta 240W: Ítem 9.10 línea 101 en Excel: </w:t>
      </w:r>
    </w:p>
    <w:p w14:paraId="46257EA6" w14:textId="77777777" w:rsidR="00012D3C" w:rsidRPr="00E05294" w:rsidRDefault="00012D3C" w:rsidP="00E1521D">
      <w:pPr>
        <w:shd w:val="clear" w:color="auto" w:fill="E8E8E8" w:themeFill="background2"/>
        <w:jc w:val="both"/>
        <w:rPr>
          <w:rFonts w:ascii="Cambria" w:hAnsi="Cambria"/>
          <w:b/>
          <w:bCs/>
        </w:rPr>
      </w:pPr>
      <w:r w:rsidRPr="00E05294">
        <w:rPr>
          <w:rFonts w:ascii="Cambria" w:hAnsi="Cambria"/>
          <w:b/>
          <w:bCs/>
        </w:rPr>
        <w:t xml:space="preserve">• Dice actualmente: "Vibración y adherencia de la pintura". </w:t>
      </w:r>
    </w:p>
    <w:p w14:paraId="5585555A" w14:textId="1CCD039A" w:rsidR="00012D3C" w:rsidRPr="00E05294" w:rsidRDefault="00012D3C" w:rsidP="00E1521D">
      <w:pPr>
        <w:shd w:val="clear" w:color="auto" w:fill="E8E8E8" w:themeFill="background2"/>
        <w:jc w:val="both"/>
        <w:rPr>
          <w:rFonts w:ascii="Cambria" w:hAnsi="Cambria"/>
          <w:b/>
          <w:bCs/>
        </w:rPr>
      </w:pPr>
      <w:r w:rsidRPr="00E05294">
        <w:rPr>
          <w:rFonts w:ascii="Cambria" w:hAnsi="Cambria"/>
          <w:b/>
          <w:bCs/>
        </w:rPr>
        <w:t xml:space="preserve">• Nuestra Consulta: ¿Qué norma debemos considerar para la prueba de vibración en pintura? ¿La prueba de adherencia debe ser bajo que norma?  </w:t>
      </w:r>
    </w:p>
    <w:p w14:paraId="4EAC315D" w14:textId="77777777" w:rsidR="00AC29FD" w:rsidRPr="00E05294" w:rsidRDefault="00012D3C" w:rsidP="00E1521D">
      <w:pPr>
        <w:shd w:val="clear" w:color="auto" w:fill="E8E8E8" w:themeFill="background2"/>
        <w:jc w:val="both"/>
        <w:rPr>
          <w:rFonts w:ascii="Cambria" w:hAnsi="Cambria"/>
          <w:b/>
          <w:bCs/>
        </w:rPr>
      </w:pPr>
      <w:r w:rsidRPr="00E05294">
        <w:rPr>
          <w:rFonts w:ascii="Cambria" w:hAnsi="Cambria"/>
          <w:b/>
          <w:bCs/>
        </w:rPr>
        <w:t xml:space="preserve">• Nuestra Solicitud: Solicitamos amablemente a este honorable Comité evaluar la posibilidad de enmendar este punto estableciendo: </w:t>
      </w:r>
    </w:p>
    <w:p w14:paraId="0CF10344" w14:textId="77777777" w:rsidR="00BA62EE" w:rsidRPr="00E05294" w:rsidRDefault="00012D3C" w:rsidP="00E1521D">
      <w:pPr>
        <w:pStyle w:val="Prrafodelista"/>
        <w:numPr>
          <w:ilvl w:val="0"/>
          <w:numId w:val="3"/>
        </w:numPr>
        <w:shd w:val="clear" w:color="auto" w:fill="E8E8E8" w:themeFill="background2"/>
        <w:jc w:val="both"/>
        <w:rPr>
          <w:rFonts w:ascii="Cambria" w:hAnsi="Cambria"/>
          <w:b/>
          <w:bCs/>
        </w:rPr>
      </w:pPr>
      <w:r w:rsidRPr="00E05294">
        <w:rPr>
          <w:rFonts w:ascii="Cambria" w:hAnsi="Cambria"/>
          <w:b/>
          <w:bCs/>
        </w:rPr>
        <w:t xml:space="preserve">Eliminar la solicitud de prueba de vibración en pintura, considerando que no existe una norma para dicha prueba en luminarios para alumbrado público. </w:t>
      </w:r>
    </w:p>
    <w:p w14:paraId="07224359" w14:textId="0F53D0C5" w:rsidR="00012D3C" w:rsidRPr="00E05294" w:rsidRDefault="00012D3C" w:rsidP="00E1521D">
      <w:pPr>
        <w:pStyle w:val="Prrafodelista"/>
        <w:numPr>
          <w:ilvl w:val="0"/>
          <w:numId w:val="3"/>
        </w:numPr>
        <w:shd w:val="clear" w:color="auto" w:fill="E8E8E8" w:themeFill="background2"/>
        <w:jc w:val="both"/>
        <w:rPr>
          <w:rFonts w:ascii="Cambria" w:hAnsi="Cambria"/>
          <w:b/>
          <w:bCs/>
        </w:rPr>
      </w:pPr>
      <w:r w:rsidRPr="00E05294">
        <w:rPr>
          <w:rFonts w:ascii="Cambria" w:hAnsi="Cambria"/>
          <w:b/>
          <w:bCs/>
        </w:rPr>
        <w:t xml:space="preserve">Reemplazar la norma ASTM D1654 aplicable a adherencia de pintura, para otro contexto diferente a alumbrado público, por las siguientes normas y estableciendo un rating de valor 0: </w:t>
      </w:r>
    </w:p>
    <w:p w14:paraId="487E6BAC" w14:textId="77777777" w:rsidR="00012D3C" w:rsidRPr="00E05294" w:rsidRDefault="00012D3C" w:rsidP="00E1521D">
      <w:pPr>
        <w:shd w:val="clear" w:color="auto" w:fill="E8E8E8" w:themeFill="background2"/>
        <w:jc w:val="both"/>
        <w:rPr>
          <w:rFonts w:ascii="Cambria" w:hAnsi="Cambria"/>
          <w:b/>
          <w:bCs/>
        </w:rPr>
      </w:pPr>
      <w:r w:rsidRPr="00E05294">
        <w:rPr>
          <w:rFonts w:ascii="Cambria" w:hAnsi="Cambria"/>
          <w:b/>
          <w:bCs/>
        </w:rPr>
        <w:t xml:space="preserve">Para la adherencia de pintura se propone las siguiente ISO con resultados de rating 0. </w:t>
      </w:r>
    </w:p>
    <w:p w14:paraId="34F5841F" w14:textId="06F0DE78" w:rsidR="00012D3C" w:rsidRPr="00E05294" w:rsidRDefault="00012D3C" w:rsidP="00E1521D">
      <w:pPr>
        <w:pStyle w:val="Prrafodelista"/>
        <w:numPr>
          <w:ilvl w:val="0"/>
          <w:numId w:val="4"/>
        </w:numPr>
        <w:shd w:val="clear" w:color="auto" w:fill="E8E8E8" w:themeFill="background2"/>
        <w:jc w:val="both"/>
        <w:rPr>
          <w:rFonts w:ascii="Cambria" w:hAnsi="Cambria"/>
          <w:b/>
          <w:bCs/>
          <w:lang w:val="pt-PT"/>
        </w:rPr>
      </w:pPr>
      <w:r w:rsidRPr="00E05294">
        <w:rPr>
          <w:rFonts w:ascii="Cambria" w:hAnsi="Cambria"/>
          <w:b/>
          <w:bCs/>
          <w:lang w:val="pt-PT"/>
        </w:rPr>
        <w:t xml:space="preserve">ISO9227/ ASTM B117 a 1000hrs </w:t>
      </w:r>
    </w:p>
    <w:p w14:paraId="49DA5C8C" w14:textId="6E894A4F" w:rsidR="00012D3C" w:rsidRPr="00E05294" w:rsidRDefault="00012D3C" w:rsidP="00E1521D">
      <w:pPr>
        <w:pStyle w:val="Prrafodelista"/>
        <w:numPr>
          <w:ilvl w:val="0"/>
          <w:numId w:val="4"/>
        </w:numPr>
        <w:shd w:val="clear" w:color="auto" w:fill="E8E8E8" w:themeFill="background2"/>
        <w:jc w:val="both"/>
        <w:rPr>
          <w:rFonts w:ascii="Cambria" w:hAnsi="Cambria"/>
          <w:b/>
          <w:bCs/>
          <w:lang w:val="pt-PT"/>
        </w:rPr>
      </w:pPr>
      <w:r w:rsidRPr="00E05294">
        <w:rPr>
          <w:rFonts w:ascii="Cambria" w:hAnsi="Cambria"/>
          <w:b/>
          <w:bCs/>
          <w:lang w:val="pt-PT"/>
        </w:rPr>
        <w:t xml:space="preserve">ISO4628-2:2016 / ASTM D 714 rating 0 </w:t>
      </w:r>
    </w:p>
    <w:p w14:paraId="0AD74E2D" w14:textId="7C5B1F33" w:rsidR="0022029D" w:rsidRPr="00E05294" w:rsidRDefault="00012D3C" w:rsidP="00E1521D">
      <w:pPr>
        <w:pStyle w:val="Prrafodelista"/>
        <w:numPr>
          <w:ilvl w:val="0"/>
          <w:numId w:val="4"/>
        </w:numPr>
        <w:shd w:val="clear" w:color="auto" w:fill="E8E8E8" w:themeFill="background2"/>
        <w:jc w:val="both"/>
        <w:rPr>
          <w:rFonts w:ascii="Cambria" w:hAnsi="Cambria"/>
          <w:b/>
          <w:bCs/>
          <w:lang w:val="pt-PT"/>
        </w:rPr>
      </w:pPr>
      <w:r w:rsidRPr="00E05294">
        <w:rPr>
          <w:rFonts w:ascii="Cambria" w:hAnsi="Cambria"/>
          <w:b/>
          <w:bCs/>
          <w:lang w:val="pt-PT"/>
        </w:rPr>
        <w:t>ISO4628-1:2016 / ASTM D1654 rating 0</w:t>
      </w:r>
    </w:p>
    <w:p w14:paraId="657ED18C" w14:textId="77777777" w:rsidR="00F07259" w:rsidRDefault="00F07259" w:rsidP="00E1521D">
      <w:pPr>
        <w:jc w:val="both"/>
        <w:rPr>
          <w:rFonts w:ascii="Cambria" w:hAnsi="Cambria"/>
          <w:b/>
          <w:bCs/>
        </w:rPr>
      </w:pPr>
    </w:p>
    <w:p w14:paraId="7811ED87" w14:textId="7B3CC5D7" w:rsidR="00BA62EE" w:rsidRPr="00E05294" w:rsidRDefault="00BA62EE" w:rsidP="00E1521D">
      <w:pPr>
        <w:jc w:val="both"/>
        <w:rPr>
          <w:rFonts w:ascii="Cambria" w:hAnsi="Cambria"/>
          <w:i/>
          <w:iCs/>
        </w:rPr>
      </w:pPr>
      <w:r w:rsidRPr="00E05294">
        <w:rPr>
          <w:rFonts w:ascii="Cambria" w:hAnsi="Cambria"/>
          <w:b/>
          <w:bCs/>
        </w:rPr>
        <w:t>Respuesta</w:t>
      </w:r>
      <w:r w:rsidRPr="00E05294">
        <w:rPr>
          <w:rFonts w:ascii="Cambria" w:hAnsi="Cambria"/>
        </w:rPr>
        <w:t xml:space="preserve">: </w:t>
      </w:r>
    </w:p>
    <w:p w14:paraId="6366CC13" w14:textId="77777777" w:rsidR="00E05294" w:rsidRPr="00E05294" w:rsidRDefault="00E05294" w:rsidP="00E05294">
      <w:pPr>
        <w:pStyle w:val="Prrafodelista"/>
        <w:ind w:left="-142"/>
        <w:jc w:val="both"/>
        <w:rPr>
          <w:color w:val="275317" w:themeColor="accent6" w:themeShade="80"/>
        </w:rPr>
      </w:pPr>
      <w:r w:rsidRPr="00E05294">
        <w:rPr>
          <w:color w:val="275317" w:themeColor="accent6" w:themeShade="80"/>
        </w:rPr>
        <w:t>Tenga en cuenta que las pruebas de vibración y adherencia de la pintura son dos pruebas independientes que deben realizarse tanto para luminarias LED como para luminarias alimentadas por batería.</w:t>
      </w:r>
    </w:p>
    <w:p w14:paraId="6AD16737" w14:textId="77777777" w:rsidR="00E05294" w:rsidRPr="00E05294" w:rsidRDefault="00E05294" w:rsidP="00781F5A">
      <w:pPr>
        <w:pStyle w:val="Prrafodelista"/>
        <w:numPr>
          <w:ilvl w:val="0"/>
          <w:numId w:val="31"/>
        </w:numPr>
        <w:jc w:val="both"/>
        <w:rPr>
          <w:color w:val="275317" w:themeColor="accent6" w:themeShade="80"/>
        </w:rPr>
      </w:pPr>
      <w:r w:rsidRPr="00E05294">
        <w:rPr>
          <w:color w:val="275317" w:themeColor="accent6" w:themeShade="80"/>
        </w:rPr>
        <w:t>La prueba de vibración debe cumplir con la norma ANSI C136.31 clasificación 3G o equivalentes</w:t>
      </w:r>
    </w:p>
    <w:p w14:paraId="68774D33" w14:textId="77777777" w:rsidR="00E05294" w:rsidRPr="00E05294" w:rsidRDefault="00E05294" w:rsidP="00781F5A">
      <w:pPr>
        <w:pStyle w:val="Prrafodelista"/>
        <w:numPr>
          <w:ilvl w:val="0"/>
          <w:numId w:val="31"/>
        </w:numPr>
        <w:jc w:val="both"/>
        <w:rPr>
          <w:color w:val="275317" w:themeColor="accent6" w:themeShade="80"/>
        </w:rPr>
      </w:pPr>
      <w:r w:rsidRPr="00E05294">
        <w:rPr>
          <w:color w:val="275317" w:themeColor="accent6" w:themeShade="80"/>
        </w:rPr>
        <w:lastRenderedPageBreak/>
        <w:t>La prueba de adherencia de la pintura debe cumplir con la norma ASTM D3359-23 clasificación 5B o equivalentes</w:t>
      </w:r>
    </w:p>
    <w:p w14:paraId="10C97E3A" w14:textId="0C5CF971" w:rsidR="00BA62EE" w:rsidRPr="00E05294" w:rsidRDefault="00E05294" w:rsidP="00E05294">
      <w:pPr>
        <w:pStyle w:val="Prrafodelista"/>
        <w:ind w:left="-142"/>
        <w:jc w:val="both"/>
        <w:rPr>
          <w:color w:val="275317" w:themeColor="accent6" w:themeShade="80"/>
        </w:rPr>
      </w:pPr>
      <w:r w:rsidRPr="00E05294">
        <w:rPr>
          <w:color w:val="275317" w:themeColor="accent6" w:themeShade="80"/>
        </w:rPr>
        <w:t>Ambas normas son aplicables a luminarias.</w:t>
      </w:r>
    </w:p>
    <w:p w14:paraId="1396D067" w14:textId="77777777" w:rsidR="00BA62EE" w:rsidRDefault="00BA62EE" w:rsidP="00E1521D">
      <w:pPr>
        <w:pStyle w:val="Prrafodelista"/>
        <w:jc w:val="both"/>
        <w:rPr>
          <w:u w:val="single"/>
        </w:rPr>
      </w:pPr>
    </w:p>
    <w:p w14:paraId="0F0821D9" w14:textId="77777777" w:rsidR="00BA62EE" w:rsidRDefault="00BA62EE" w:rsidP="00E1521D">
      <w:pPr>
        <w:pStyle w:val="Prrafodelista"/>
        <w:jc w:val="both"/>
        <w:rPr>
          <w:u w:val="single"/>
        </w:rPr>
      </w:pPr>
    </w:p>
    <w:p w14:paraId="0A306F95" w14:textId="77777777" w:rsidR="00BA62EE" w:rsidRDefault="00BA62EE" w:rsidP="00E1521D">
      <w:pPr>
        <w:pStyle w:val="Prrafodelista"/>
        <w:jc w:val="both"/>
        <w:rPr>
          <w:u w:val="single"/>
        </w:rPr>
      </w:pPr>
    </w:p>
    <w:p w14:paraId="3C91280A" w14:textId="1BC5B153" w:rsidR="00BA62EE" w:rsidRPr="00BA62EE" w:rsidRDefault="00BA62EE" w:rsidP="00E1521D">
      <w:pPr>
        <w:pStyle w:val="Prrafodelista"/>
        <w:jc w:val="both"/>
        <w:rPr>
          <w:rFonts w:ascii="Cambria" w:hAnsi="Cambria"/>
          <w:b/>
          <w:bCs/>
        </w:rPr>
      </w:pPr>
      <w:r w:rsidRPr="00BA62EE">
        <w:rPr>
          <w:u w:val="single"/>
        </w:rPr>
        <w:tab/>
      </w:r>
      <w:r w:rsidRPr="00BA62EE">
        <w:rPr>
          <w:u w:val="single"/>
        </w:rPr>
        <w:tab/>
      </w:r>
    </w:p>
    <w:p w14:paraId="6CB55981" w14:textId="77777777" w:rsidR="001A247A" w:rsidRPr="006E6714" w:rsidRDefault="001A247A" w:rsidP="00E1521D">
      <w:pPr>
        <w:jc w:val="both"/>
        <w:rPr>
          <w:rFonts w:ascii="Cambria" w:hAnsi="Cambria"/>
          <w:b/>
          <w:bCs/>
        </w:rPr>
      </w:pPr>
    </w:p>
    <w:p w14:paraId="2A373757" w14:textId="77777777" w:rsidR="00510FF9" w:rsidRPr="00510FF9" w:rsidRDefault="00DF7C8A" w:rsidP="00E1521D">
      <w:pPr>
        <w:shd w:val="clear" w:color="auto" w:fill="E8E8E8" w:themeFill="background2"/>
        <w:jc w:val="both"/>
        <w:rPr>
          <w:rFonts w:ascii="Cambria" w:hAnsi="Cambria"/>
          <w:b/>
          <w:bCs/>
        </w:rPr>
      </w:pPr>
      <w:r>
        <w:rPr>
          <w:rFonts w:ascii="Cambria" w:hAnsi="Cambria"/>
          <w:b/>
          <w:bCs/>
        </w:rPr>
        <w:t>Consulta No. 8</w:t>
      </w:r>
      <w:r w:rsidRPr="00F825D5">
        <w:rPr>
          <w:rFonts w:ascii="Cambria" w:hAnsi="Cambria"/>
          <w:b/>
          <w:bCs/>
        </w:rPr>
        <w:t xml:space="preserve">.- </w:t>
      </w:r>
      <w:r w:rsidR="00510FF9" w:rsidRPr="00510FF9">
        <w:rPr>
          <w:rFonts w:ascii="Cambria" w:hAnsi="Cambria"/>
          <w:b/>
          <w:bCs/>
        </w:rPr>
        <w:t xml:space="preserve">Sobre PDGT luminarias con potencia de 30W hasta 240W: Ítem 9.9 línea 100 en Excel: </w:t>
      </w:r>
    </w:p>
    <w:p w14:paraId="2352C14D" w14:textId="77777777" w:rsidR="00510FF9" w:rsidRPr="00510FF9" w:rsidRDefault="00510FF9" w:rsidP="00E1521D">
      <w:pPr>
        <w:shd w:val="clear" w:color="auto" w:fill="E8E8E8" w:themeFill="background2"/>
        <w:jc w:val="both"/>
        <w:rPr>
          <w:rFonts w:ascii="Cambria" w:hAnsi="Cambria"/>
          <w:b/>
          <w:bCs/>
        </w:rPr>
      </w:pPr>
      <w:r w:rsidRPr="00510FF9">
        <w:rPr>
          <w:rFonts w:ascii="Cambria" w:hAnsi="Cambria"/>
          <w:b/>
          <w:bCs/>
        </w:rPr>
        <w:t xml:space="preserve">• Dice actualmente: "Protección Ultravioleta (UV)". </w:t>
      </w:r>
    </w:p>
    <w:p w14:paraId="7194C4F3" w14:textId="06E36F23" w:rsidR="00510FF9" w:rsidRPr="00510FF9" w:rsidRDefault="00510FF9" w:rsidP="00E1521D">
      <w:pPr>
        <w:shd w:val="clear" w:color="auto" w:fill="E8E8E8" w:themeFill="background2"/>
        <w:jc w:val="both"/>
        <w:rPr>
          <w:rFonts w:ascii="Cambria" w:hAnsi="Cambria"/>
          <w:b/>
          <w:bCs/>
        </w:rPr>
      </w:pPr>
      <w:r w:rsidRPr="00510FF9">
        <w:rPr>
          <w:rFonts w:ascii="Cambria" w:hAnsi="Cambria"/>
          <w:b/>
          <w:bCs/>
        </w:rPr>
        <w:t xml:space="preserve">• Nuestra Solicitud: Solicitamos amablemente a este honorable Comité evaluar la posibilidad de enmendar este punto agregando las siguientes normativas específicas para protección UV en los diferentes componentes de la luminaria: </w:t>
      </w:r>
    </w:p>
    <w:p w14:paraId="0C87F217" w14:textId="07345EC3" w:rsidR="00510FF9" w:rsidRPr="00510FF9" w:rsidRDefault="00510FF9" w:rsidP="00E1521D">
      <w:pPr>
        <w:shd w:val="clear" w:color="auto" w:fill="E8E8E8" w:themeFill="background2"/>
        <w:jc w:val="both"/>
        <w:rPr>
          <w:rFonts w:ascii="Cambria" w:hAnsi="Cambria"/>
          <w:b/>
          <w:bCs/>
        </w:rPr>
      </w:pPr>
      <w:r w:rsidRPr="00510FF9">
        <w:rPr>
          <w:rFonts w:ascii="Cambria" w:hAnsi="Cambria"/>
          <w:b/>
          <w:bCs/>
        </w:rPr>
        <w:t xml:space="preserve">Proponemos las pruebas para el policarbonato de las ópticas sean testeados bajo la norma UL746C (F1) </w:t>
      </w:r>
    </w:p>
    <w:p w14:paraId="565F251C" w14:textId="37D21DBB" w:rsidR="00510FF9" w:rsidRPr="00B707F5" w:rsidRDefault="00510FF9" w:rsidP="00E1521D">
      <w:pPr>
        <w:pStyle w:val="Prrafodelista"/>
        <w:numPr>
          <w:ilvl w:val="0"/>
          <w:numId w:val="5"/>
        </w:numPr>
        <w:shd w:val="clear" w:color="auto" w:fill="E8E8E8" w:themeFill="background2"/>
        <w:jc w:val="both"/>
        <w:rPr>
          <w:rFonts w:ascii="Cambria" w:hAnsi="Cambria"/>
          <w:b/>
          <w:bCs/>
        </w:rPr>
      </w:pPr>
      <w:r w:rsidRPr="00B707F5">
        <w:rPr>
          <w:rFonts w:ascii="Cambria" w:hAnsi="Cambria"/>
          <w:b/>
          <w:bCs/>
        </w:rPr>
        <w:t xml:space="preserve">Flamabilidad: </w:t>
      </w:r>
    </w:p>
    <w:p w14:paraId="1B1F8B53" w14:textId="77777777" w:rsidR="00510FF9" w:rsidRPr="00510FF9" w:rsidRDefault="00510FF9" w:rsidP="00E1521D">
      <w:pPr>
        <w:shd w:val="clear" w:color="auto" w:fill="E8E8E8" w:themeFill="background2"/>
        <w:ind w:left="709"/>
        <w:jc w:val="both"/>
        <w:rPr>
          <w:rFonts w:ascii="Cambria" w:hAnsi="Cambria"/>
          <w:b/>
          <w:bCs/>
        </w:rPr>
      </w:pPr>
      <w:r w:rsidRPr="00510FF9">
        <w:rPr>
          <w:b/>
          <w:bCs/>
        </w:rPr>
        <w:t>▪</w:t>
      </w:r>
      <w:r w:rsidRPr="00510FF9">
        <w:rPr>
          <w:rFonts w:ascii="Cambria" w:hAnsi="Cambria"/>
          <w:b/>
          <w:bCs/>
        </w:rPr>
        <w:t xml:space="preserve"> UL94 </w:t>
      </w:r>
    </w:p>
    <w:p w14:paraId="2430B510" w14:textId="77777777" w:rsidR="00510FF9" w:rsidRPr="00510FF9" w:rsidRDefault="00510FF9" w:rsidP="00E1521D">
      <w:pPr>
        <w:shd w:val="clear" w:color="auto" w:fill="E8E8E8" w:themeFill="background2"/>
        <w:ind w:left="709"/>
        <w:jc w:val="both"/>
        <w:rPr>
          <w:rFonts w:ascii="Cambria" w:hAnsi="Cambria"/>
          <w:b/>
          <w:bCs/>
          <w:lang w:val="pt-PT"/>
        </w:rPr>
      </w:pPr>
      <w:r w:rsidRPr="00510FF9">
        <w:rPr>
          <w:b/>
          <w:bCs/>
          <w:lang w:val="pt-PT"/>
        </w:rPr>
        <w:t>▪</w:t>
      </w:r>
      <w:r w:rsidRPr="00510FF9">
        <w:rPr>
          <w:rFonts w:ascii="Cambria" w:hAnsi="Cambria"/>
          <w:b/>
          <w:bCs/>
          <w:lang w:val="pt-PT"/>
        </w:rPr>
        <w:t xml:space="preserve"> IEC 60695-11-10,-20 </w:t>
      </w:r>
    </w:p>
    <w:p w14:paraId="7B9EEC58" w14:textId="7E5AC081" w:rsidR="00510FF9" w:rsidRPr="00B707F5" w:rsidRDefault="00510FF9" w:rsidP="00E1521D">
      <w:pPr>
        <w:pStyle w:val="Prrafodelista"/>
        <w:numPr>
          <w:ilvl w:val="0"/>
          <w:numId w:val="5"/>
        </w:numPr>
        <w:shd w:val="clear" w:color="auto" w:fill="E8E8E8" w:themeFill="background2"/>
        <w:jc w:val="both"/>
        <w:rPr>
          <w:rFonts w:ascii="Cambria" w:hAnsi="Cambria"/>
          <w:b/>
          <w:bCs/>
          <w:lang w:val="pt-PT"/>
        </w:rPr>
      </w:pPr>
      <w:r w:rsidRPr="00B707F5">
        <w:rPr>
          <w:rFonts w:ascii="Cambria" w:hAnsi="Cambria"/>
          <w:b/>
          <w:bCs/>
          <w:lang w:val="pt-PT"/>
        </w:rPr>
        <w:t xml:space="preserve">Eléctrica </w:t>
      </w:r>
    </w:p>
    <w:p w14:paraId="1ADDDB64" w14:textId="77777777" w:rsidR="00510FF9" w:rsidRPr="00510FF9" w:rsidRDefault="00510FF9" w:rsidP="00E1521D">
      <w:pPr>
        <w:shd w:val="clear" w:color="auto" w:fill="E8E8E8" w:themeFill="background2"/>
        <w:ind w:left="709"/>
        <w:jc w:val="both"/>
        <w:rPr>
          <w:rFonts w:ascii="Cambria" w:hAnsi="Cambria"/>
          <w:b/>
          <w:bCs/>
          <w:lang w:val="pt-PT"/>
        </w:rPr>
      </w:pPr>
      <w:r w:rsidRPr="00510FF9">
        <w:rPr>
          <w:b/>
          <w:bCs/>
          <w:lang w:val="pt-PT"/>
        </w:rPr>
        <w:t>▪</w:t>
      </w:r>
      <w:r w:rsidRPr="00510FF9">
        <w:rPr>
          <w:rFonts w:ascii="Cambria" w:hAnsi="Cambria"/>
          <w:b/>
          <w:bCs/>
          <w:lang w:val="pt-PT"/>
        </w:rPr>
        <w:t xml:space="preserve"> UL746 A </w:t>
      </w:r>
    </w:p>
    <w:p w14:paraId="4C3642B3" w14:textId="77777777" w:rsidR="00510FF9" w:rsidRPr="00510FF9" w:rsidRDefault="00510FF9" w:rsidP="00E1521D">
      <w:pPr>
        <w:shd w:val="clear" w:color="auto" w:fill="E8E8E8" w:themeFill="background2"/>
        <w:ind w:left="709"/>
        <w:jc w:val="both"/>
        <w:rPr>
          <w:rFonts w:ascii="Cambria" w:hAnsi="Cambria"/>
          <w:b/>
          <w:bCs/>
          <w:lang w:val="pt-PT"/>
        </w:rPr>
      </w:pPr>
      <w:r w:rsidRPr="00510FF9">
        <w:rPr>
          <w:b/>
          <w:bCs/>
          <w:lang w:val="pt-PT"/>
        </w:rPr>
        <w:t>▪</w:t>
      </w:r>
      <w:r w:rsidRPr="00510FF9">
        <w:rPr>
          <w:rFonts w:ascii="Cambria" w:hAnsi="Cambria"/>
          <w:b/>
          <w:bCs/>
          <w:lang w:val="pt-PT"/>
        </w:rPr>
        <w:t xml:space="preserve"> ASTM D149 </w:t>
      </w:r>
    </w:p>
    <w:p w14:paraId="58A9AFC8" w14:textId="77777777" w:rsidR="00510FF9" w:rsidRPr="00510FF9" w:rsidRDefault="00510FF9" w:rsidP="00E1521D">
      <w:pPr>
        <w:shd w:val="clear" w:color="auto" w:fill="E8E8E8" w:themeFill="background2"/>
        <w:ind w:left="709"/>
        <w:jc w:val="both"/>
        <w:rPr>
          <w:rFonts w:ascii="Cambria" w:hAnsi="Cambria"/>
          <w:b/>
          <w:bCs/>
        </w:rPr>
      </w:pPr>
      <w:r w:rsidRPr="00510FF9">
        <w:rPr>
          <w:b/>
          <w:bCs/>
        </w:rPr>
        <w:t>▪</w:t>
      </w:r>
      <w:r w:rsidRPr="00510FF9">
        <w:rPr>
          <w:rFonts w:ascii="Cambria" w:hAnsi="Cambria"/>
          <w:b/>
          <w:bCs/>
        </w:rPr>
        <w:t xml:space="preserve"> IEC 60243-1 </w:t>
      </w:r>
    </w:p>
    <w:p w14:paraId="00C974EF" w14:textId="77777777" w:rsidR="00510FF9" w:rsidRPr="00510FF9" w:rsidRDefault="00510FF9" w:rsidP="00E1521D">
      <w:pPr>
        <w:shd w:val="clear" w:color="auto" w:fill="E8E8E8" w:themeFill="background2"/>
        <w:ind w:left="709"/>
        <w:jc w:val="both"/>
        <w:rPr>
          <w:rFonts w:ascii="Cambria" w:hAnsi="Cambria"/>
          <w:b/>
          <w:bCs/>
        </w:rPr>
      </w:pPr>
      <w:r w:rsidRPr="00510FF9">
        <w:rPr>
          <w:b/>
          <w:bCs/>
        </w:rPr>
        <w:t>▪</w:t>
      </w:r>
      <w:r w:rsidRPr="00510FF9">
        <w:rPr>
          <w:rFonts w:ascii="Cambria" w:hAnsi="Cambria"/>
          <w:b/>
          <w:bCs/>
        </w:rPr>
        <w:t xml:space="preserve"> ASTM D495 </w:t>
      </w:r>
    </w:p>
    <w:p w14:paraId="4B97B02B" w14:textId="529AB445" w:rsidR="00510FF9" w:rsidRPr="00B707F5" w:rsidRDefault="00510FF9" w:rsidP="00E1521D">
      <w:pPr>
        <w:pStyle w:val="Prrafodelista"/>
        <w:numPr>
          <w:ilvl w:val="0"/>
          <w:numId w:val="5"/>
        </w:numPr>
        <w:shd w:val="clear" w:color="auto" w:fill="E8E8E8" w:themeFill="background2"/>
        <w:jc w:val="both"/>
        <w:rPr>
          <w:rFonts w:ascii="Cambria" w:hAnsi="Cambria"/>
          <w:b/>
          <w:bCs/>
        </w:rPr>
      </w:pPr>
      <w:r w:rsidRPr="00B707F5">
        <w:rPr>
          <w:rFonts w:ascii="Cambria" w:hAnsi="Cambria"/>
          <w:b/>
          <w:bCs/>
        </w:rPr>
        <w:t xml:space="preserve">Térmico </w:t>
      </w:r>
    </w:p>
    <w:p w14:paraId="154E3612" w14:textId="77777777" w:rsidR="00510FF9" w:rsidRPr="00510FF9" w:rsidRDefault="00510FF9" w:rsidP="00E1521D">
      <w:pPr>
        <w:shd w:val="clear" w:color="auto" w:fill="E8E8E8" w:themeFill="background2"/>
        <w:ind w:left="709"/>
        <w:jc w:val="both"/>
        <w:rPr>
          <w:rFonts w:ascii="Cambria" w:hAnsi="Cambria"/>
          <w:b/>
          <w:bCs/>
        </w:rPr>
      </w:pPr>
      <w:r w:rsidRPr="00510FF9">
        <w:rPr>
          <w:b/>
          <w:bCs/>
        </w:rPr>
        <w:t>▪</w:t>
      </w:r>
      <w:r w:rsidRPr="00510FF9">
        <w:rPr>
          <w:rFonts w:ascii="Cambria" w:hAnsi="Cambria"/>
          <w:b/>
          <w:bCs/>
        </w:rPr>
        <w:t xml:space="preserve"> UL746 B </w:t>
      </w:r>
    </w:p>
    <w:p w14:paraId="747D0450" w14:textId="32ED884B" w:rsidR="00510FF9" w:rsidRPr="00B707F5" w:rsidRDefault="00510FF9" w:rsidP="00E1521D">
      <w:pPr>
        <w:pStyle w:val="Prrafodelista"/>
        <w:numPr>
          <w:ilvl w:val="0"/>
          <w:numId w:val="5"/>
        </w:numPr>
        <w:shd w:val="clear" w:color="auto" w:fill="E8E8E8" w:themeFill="background2"/>
        <w:jc w:val="both"/>
        <w:rPr>
          <w:rFonts w:ascii="Cambria" w:hAnsi="Cambria"/>
          <w:b/>
          <w:bCs/>
          <w:lang w:val="pt-PT"/>
        </w:rPr>
      </w:pPr>
      <w:r w:rsidRPr="00B707F5">
        <w:rPr>
          <w:rFonts w:ascii="Cambria" w:hAnsi="Cambria"/>
          <w:b/>
          <w:bCs/>
          <w:lang w:val="pt-PT"/>
        </w:rPr>
        <w:t xml:space="preserve">Físico </w:t>
      </w:r>
    </w:p>
    <w:p w14:paraId="7B1B5E9B" w14:textId="77777777" w:rsidR="00510FF9" w:rsidRPr="00510FF9" w:rsidRDefault="00510FF9" w:rsidP="00E1521D">
      <w:pPr>
        <w:shd w:val="clear" w:color="auto" w:fill="E8E8E8" w:themeFill="background2"/>
        <w:ind w:left="709"/>
        <w:jc w:val="both"/>
        <w:rPr>
          <w:rFonts w:ascii="Cambria" w:hAnsi="Cambria"/>
          <w:b/>
          <w:bCs/>
          <w:lang w:val="pt-PT"/>
        </w:rPr>
      </w:pPr>
      <w:r w:rsidRPr="00510FF9">
        <w:rPr>
          <w:b/>
          <w:bCs/>
          <w:lang w:val="pt-PT"/>
        </w:rPr>
        <w:t>▪</w:t>
      </w:r>
      <w:r w:rsidRPr="00510FF9">
        <w:rPr>
          <w:rFonts w:ascii="Cambria" w:hAnsi="Cambria"/>
          <w:b/>
          <w:bCs/>
          <w:lang w:val="pt-PT"/>
        </w:rPr>
        <w:t xml:space="preserve"> ASTM D1042 </w:t>
      </w:r>
    </w:p>
    <w:p w14:paraId="64094FBA" w14:textId="77777777" w:rsidR="00510FF9" w:rsidRPr="00510FF9" w:rsidRDefault="00510FF9" w:rsidP="00E1521D">
      <w:pPr>
        <w:shd w:val="clear" w:color="auto" w:fill="E8E8E8" w:themeFill="background2"/>
        <w:ind w:left="709"/>
        <w:jc w:val="both"/>
        <w:rPr>
          <w:rFonts w:ascii="Cambria" w:hAnsi="Cambria"/>
          <w:b/>
          <w:bCs/>
          <w:lang w:val="pt-PT"/>
        </w:rPr>
      </w:pPr>
      <w:r w:rsidRPr="00510FF9">
        <w:rPr>
          <w:b/>
          <w:bCs/>
          <w:lang w:val="pt-PT"/>
        </w:rPr>
        <w:t>▪</w:t>
      </w:r>
      <w:r w:rsidRPr="00510FF9">
        <w:rPr>
          <w:rFonts w:ascii="Cambria" w:hAnsi="Cambria"/>
          <w:b/>
          <w:bCs/>
          <w:lang w:val="pt-PT"/>
        </w:rPr>
        <w:t xml:space="preserve"> ISO2796 </w:t>
      </w:r>
    </w:p>
    <w:p w14:paraId="5444704E" w14:textId="77777777" w:rsidR="00510FF9" w:rsidRPr="00510FF9" w:rsidRDefault="00510FF9" w:rsidP="00E1521D">
      <w:pPr>
        <w:shd w:val="clear" w:color="auto" w:fill="E8E8E8" w:themeFill="background2"/>
        <w:ind w:left="709"/>
        <w:jc w:val="both"/>
        <w:rPr>
          <w:rFonts w:ascii="Cambria" w:hAnsi="Cambria"/>
          <w:b/>
          <w:bCs/>
          <w:lang w:val="pt-PT"/>
        </w:rPr>
      </w:pPr>
      <w:r w:rsidRPr="00510FF9">
        <w:rPr>
          <w:b/>
          <w:bCs/>
          <w:lang w:val="pt-PT"/>
        </w:rPr>
        <w:t>▪</w:t>
      </w:r>
      <w:r w:rsidRPr="00510FF9">
        <w:rPr>
          <w:rFonts w:ascii="Cambria" w:hAnsi="Cambria"/>
          <w:b/>
          <w:bCs/>
          <w:lang w:val="pt-PT"/>
        </w:rPr>
        <w:t xml:space="preserve"> UL746 C </w:t>
      </w:r>
    </w:p>
    <w:p w14:paraId="59198712" w14:textId="60954317" w:rsidR="00BA62EE" w:rsidRPr="00DF7C8A" w:rsidRDefault="00510FF9" w:rsidP="00E1521D">
      <w:pPr>
        <w:shd w:val="clear" w:color="auto" w:fill="E8E8E8" w:themeFill="background2"/>
        <w:jc w:val="both"/>
        <w:rPr>
          <w:rFonts w:ascii="Cambria" w:hAnsi="Cambria"/>
          <w:b/>
          <w:bCs/>
        </w:rPr>
      </w:pPr>
      <w:r w:rsidRPr="00510FF9">
        <w:rPr>
          <w:rFonts w:ascii="Cambria" w:hAnsi="Cambria"/>
          <w:b/>
          <w:bCs/>
        </w:rPr>
        <w:t>Para la protección fotobiológica se propone la norma IEC 62471-7:2023.</w:t>
      </w:r>
    </w:p>
    <w:p w14:paraId="458712AD" w14:textId="77777777" w:rsidR="00BA62EE" w:rsidRDefault="00BA62EE" w:rsidP="00E1521D">
      <w:pPr>
        <w:jc w:val="both"/>
        <w:rPr>
          <w:rFonts w:ascii="Cambria" w:hAnsi="Cambria"/>
          <w:b/>
          <w:bCs/>
        </w:rPr>
      </w:pPr>
    </w:p>
    <w:p w14:paraId="3F99DFC3" w14:textId="77777777" w:rsidR="00EF02E9" w:rsidRPr="00BA62EE" w:rsidRDefault="00EF02E9" w:rsidP="00E1521D">
      <w:pPr>
        <w:jc w:val="both"/>
        <w:rPr>
          <w:rFonts w:ascii="Cambria" w:hAnsi="Cambria"/>
          <w:i/>
          <w:iCs/>
        </w:rPr>
      </w:pPr>
      <w:r w:rsidRPr="00BA62EE">
        <w:rPr>
          <w:rFonts w:ascii="Cambria" w:hAnsi="Cambria"/>
          <w:b/>
          <w:bCs/>
        </w:rPr>
        <w:t>Respuesta</w:t>
      </w:r>
      <w:r w:rsidRPr="00BA62EE">
        <w:rPr>
          <w:rFonts w:ascii="Cambria" w:hAnsi="Cambria"/>
        </w:rPr>
        <w:t xml:space="preserve">: </w:t>
      </w:r>
    </w:p>
    <w:p w14:paraId="74B51D37" w14:textId="5DB0C291" w:rsidR="0049648A" w:rsidRPr="0049648A" w:rsidRDefault="00133E00" w:rsidP="00E1521D">
      <w:pPr>
        <w:jc w:val="both"/>
        <w:rPr>
          <w:color w:val="275317" w:themeColor="accent6" w:themeShade="80"/>
        </w:rPr>
      </w:pPr>
      <w:r w:rsidRPr="00A62F31">
        <w:rPr>
          <w:color w:val="275317" w:themeColor="accent6" w:themeShade="80"/>
        </w:rPr>
        <w:t xml:space="preserve">El </w:t>
      </w:r>
      <w:r w:rsidR="001736FA" w:rsidRPr="00A62F31">
        <w:rPr>
          <w:color w:val="275317" w:themeColor="accent6" w:themeShade="80"/>
        </w:rPr>
        <w:t xml:space="preserve">requerimiento es de vidrio templado </w:t>
      </w:r>
      <w:r w:rsidRPr="00A62F31">
        <w:rPr>
          <w:color w:val="275317" w:themeColor="accent6" w:themeShade="80"/>
        </w:rPr>
        <w:t xml:space="preserve">conforme lo previsto en el </w:t>
      </w:r>
      <w:r w:rsidR="00A62F31" w:rsidRPr="00A62F31">
        <w:rPr>
          <w:color w:val="275317" w:themeColor="accent6" w:themeShade="80"/>
        </w:rPr>
        <w:t>ítem</w:t>
      </w:r>
      <w:r w:rsidRPr="00A62F31">
        <w:rPr>
          <w:color w:val="275317" w:themeColor="accent6" w:themeShade="80"/>
        </w:rPr>
        <w:t xml:space="preserve"> 1.8 de la PDT</w:t>
      </w:r>
      <w:r w:rsidR="00AB1288">
        <w:rPr>
          <w:color w:val="275317" w:themeColor="accent6" w:themeShade="80"/>
        </w:rPr>
        <w:t>G</w:t>
      </w:r>
      <w:r w:rsidR="00A62F31">
        <w:rPr>
          <w:color w:val="275317" w:themeColor="accent6" w:themeShade="80"/>
        </w:rPr>
        <w:t>,</w:t>
      </w:r>
      <w:r w:rsidRPr="00A62F31">
        <w:rPr>
          <w:color w:val="275317" w:themeColor="accent6" w:themeShade="80"/>
        </w:rPr>
        <w:t xml:space="preserve"> </w:t>
      </w:r>
      <w:r w:rsidR="001736FA" w:rsidRPr="00A62F31">
        <w:rPr>
          <w:color w:val="275317" w:themeColor="accent6" w:themeShade="80"/>
        </w:rPr>
        <w:t>por lo que la prueba citada no sería requerida.</w:t>
      </w:r>
      <w:r w:rsidR="00A62F31">
        <w:rPr>
          <w:color w:val="275317" w:themeColor="accent6" w:themeShade="80"/>
        </w:rPr>
        <w:t xml:space="preserve"> </w:t>
      </w:r>
      <w:r w:rsidR="0049648A">
        <w:rPr>
          <w:color w:val="275317" w:themeColor="accent6" w:themeShade="80"/>
        </w:rPr>
        <w:t>En la</w:t>
      </w:r>
      <w:r w:rsidR="00A62F31">
        <w:rPr>
          <w:color w:val="275317" w:themeColor="accent6" w:themeShade="80"/>
        </w:rPr>
        <w:t xml:space="preserve"> Planilla de Datos </w:t>
      </w:r>
      <w:r w:rsidR="00AB1288">
        <w:rPr>
          <w:color w:val="275317" w:themeColor="accent6" w:themeShade="80"/>
        </w:rPr>
        <w:t>Técnicos</w:t>
      </w:r>
      <w:r w:rsidR="00A62F31">
        <w:rPr>
          <w:color w:val="275317" w:themeColor="accent6" w:themeShade="80"/>
        </w:rPr>
        <w:t xml:space="preserve"> Garantizados,</w:t>
      </w:r>
      <w:r w:rsidR="0049648A">
        <w:rPr>
          <w:color w:val="275317" w:themeColor="accent6" w:themeShade="80"/>
        </w:rPr>
        <w:t xml:space="preserve"> fichas de características técnicas de las luminarias se exige un cierre de vidrio templado, no de policarbonato. Por lo tanto, se desestima la propuesta</w:t>
      </w:r>
      <w:r w:rsidR="00AB1288">
        <w:rPr>
          <w:color w:val="275317" w:themeColor="accent6" w:themeShade="80"/>
        </w:rPr>
        <w:t xml:space="preserve"> sugerida</w:t>
      </w:r>
      <w:r w:rsidR="0049648A">
        <w:rPr>
          <w:color w:val="275317" w:themeColor="accent6" w:themeShade="80"/>
        </w:rPr>
        <w:t>.</w:t>
      </w:r>
    </w:p>
    <w:p w14:paraId="3DDD1CAD" w14:textId="61667935" w:rsidR="00EF02E9" w:rsidRDefault="00EF02E9" w:rsidP="00E1521D">
      <w:pPr>
        <w:pStyle w:val="Prrafodelista"/>
        <w:jc w:val="both"/>
        <w:rPr>
          <w:u w:val="single"/>
        </w:rPr>
      </w:pPr>
    </w:p>
    <w:p w14:paraId="43B926C3" w14:textId="77777777" w:rsidR="00891530" w:rsidRPr="00AB1288" w:rsidRDefault="00891530" w:rsidP="00AB1288">
      <w:pPr>
        <w:jc w:val="both"/>
        <w:rPr>
          <w:rFonts w:ascii="Cambria" w:hAnsi="Cambria"/>
          <w:b/>
          <w:bCs/>
        </w:rPr>
      </w:pPr>
    </w:p>
    <w:p w14:paraId="3EDC2431" w14:textId="77777777" w:rsidR="00EC66A3" w:rsidRPr="00EC66A3" w:rsidRDefault="00EF02E9" w:rsidP="00E1521D">
      <w:pPr>
        <w:shd w:val="clear" w:color="auto" w:fill="E8E8E8" w:themeFill="background2"/>
        <w:jc w:val="both"/>
        <w:rPr>
          <w:rFonts w:ascii="Cambria" w:hAnsi="Cambria"/>
          <w:b/>
          <w:bCs/>
        </w:rPr>
      </w:pPr>
      <w:r>
        <w:rPr>
          <w:rFonts w:ascii="Cambria" w:hAnsi="Cambria"/>
          <w:b/>
          <w:bCs/>
        </w:rPr>
        <w:t>Consulta No.9</w:t>
      </w:r>
      <w:r w:rsidRPr="00F825D5">
        <w:rPr>
          <w:rFonts w:ascii="Cambria" w:hAnsi="Cambria"/>
          <w:b/>
          <w:bCs/>
        </w:rPr>
        <w:t xml:space="preserve">.- </w:t>
      </w:r>
      <w:r w:rsidR="00EC66A3" w:rsidRPr="00EC66A3">
        <w:rPr>
          <w:rFonts w:ascii="Cambria" w:hAnsi="Cambria"/>
          <w:b/>
          <w:bCs/>
        </w:rPr>
        <w:t xml:space="preserve">Sobre PDGT luminarias con batería de emergencia: Ítem 5.4 línea 70 en Excel: </w:t>
      </w:r>
    </w:p>
    <w:p w14:paraId="2CBD86CE" w14:textId="444ACAF2" w:rsidR="00EC66A3" w:rsidRPr="00EC66A3" w:rsidRDefault="00EC66A3" w:rsidP="00E1521D">
      <w:pPr>
        <w:shd w:val="clear" w:color="auto" w:fill="E8E8E8" w:themeFill="background2"/>
        <w:jc w:val="both"/>
        <w:rPr>
          <w:rFonts w:ascii="Cambria" w:hAnsi="Cambria"/>
          <w:b/>
          <w:bCs/>
        </w:rPr>
      </w:pPr>
      <w:r w:rsidRPr="00EC66A3">
        <w:rPr>
          <w:rFonts w:ascii="Cambria" w:hAnsi="Cambria"/>
          <w:b/>
          <w:bCs/>
        </w:rPr>
        <w:t xml:space="preserve">• Dice actualmente: "BMS - El sistema de batería debe tener un módulo BMS del sistema de gestión de baterías.". </w:t>
      </w:r>
    </w:p>
    <w:p w14:paraId="5EF6DD6F" w14:textId="52E32909" w:rsidR="00EF02E9" w:rsidRPr="00EF02E9" w:rsidRDefault="00EC66A3" w:rsidP="00E1521D">
      <w:pPr>
        <w:shd w:val="clear" w:color="auto" w:fill="E8E8E8" w:themeFill="background2"/>
        <w:jc w:val="both"/>
        <w:rPr>
          <w:rFonts w:ascii="Cambria" w:hAnsi="Cambria"/>
          <w:b/>
          <w:bCs/>
        </w:rPr>
      </w:pPr>
      <w:r w:rsidRPr="00EC66A3">
        <w:rPr>
          <w:rFonts w:ascii="Cambria" w:hAnsi="Cambria"/>
          <w:b/>
          <w:bCs/>
        </w:rPr>
        <w:t>• Nuestra Consulta: En este punto entendemos que el BMS es el “</w:t>
      </w:r>
      <w:proofErr w:type="spellStart"/>
      <w:r w:rsidRPr="00EC66A3">
        <w:rPr>
          <w:rFonts w:ascii="Cambria" w:hAnsi="Cambria"/>
          <w:b/>
          <w:bCs/>
        </w:rPr>
        <w:t>Battery</w:t>
      </w:r>
      <w:proofErr w:type="spellEnd"/>
      <w:r w:rsidRPr="00EC66A3">
        <w:rPr>
          <w:rFonts w:ascii="Cambria" w:hAnsi="Cambria"/>
          <w:b/>
          <w:bCs/>
        </w:rPr>
        <w:t xml:space="preserve"> Management </w:t>
      </w:r>
      <w:proofErr w:type="spellStart"/>
      <w:r w:rsidRPr="00EC66A3">
        <w:rPr>
          <w:rFonts w:ascii="Cambria" w:hAnsi="Cambria"/>
          <w:b/>
          <w:bCs/>
        </w:rPr>
        <w:t>System</w:t>
      </w:r>
      <w:proofErr w:type="spellEnd"/>
      <w:r w:rsidRPr="00EC66A3">
        <w:rPr>
          <w:rFonts w:ascii="Cambria" w:hAnsi="Cambria"/>
          <w:b/>
          <w:bCs/>
        </w:rPr>
        <w:t>”, que es un sistema electrónico, que maneja el desempeño, seguridad y longevidad de la luminaria, monitoreando su voltaje, corriente y temperatura y que además le permite prevenir sobrecargas, entre otros aspectos. ¿Estamos en lo correcto?, si no, por favor definir el concepto.</w:t>
      </w:r>
    </w:p>
    <w:p w14:paraId="28CD820B" w14:textId="77777777" w:rsidR="00EC66A3" w:rsidRPr="00BA62EE" w:rsidRDefault="00EC66A3" w:rsidP="00E1521D">
      <w:pPr>
        <w:jc w:val="both"/>
        <w:rPr>
          <w:rFonts w:ascii="Cambria" w:hAnsi="Cambria"/>
          <w:i/>
          <w:iCs/>
        </w:rPr>
      </w:pPr>
      <w:r w:rsidRPr="00BA62EE">
        <w:rPr>
          <w:rFonts w:ascii="Cambria" w:hAnsi="Cambria"/>
          <w:b/>
          <w:bCs/>
        </w:rPr>
        <w:lastRenderedPageBreak/>
        <w:t>Respuesta</w:t>
      </w:r>
      <w:r w:rsidRPr="00BA62EE">
        <w:rPr>
          <w:rFonts w:ascii="Cambria" w:hAnsi="Cambria"/>
        </w:rPr>
        <w:t xml:space="preserve">: </w:t>
      </w:r>
    </w:p>
    <w:p w14:paraId="77828A95" w14:textId="77777777" w:rsidR="008672D4" w:rsidRDefault="008672D4" w:rsidP="00E1521D">
      <w:pPr>
        <w:jc w:val="both"/>
        <w:rPr>
          <w:color w:val="EE0000"/>
          <w:u w:val="single"/>
        </w:rPr>
      </w:pPr>
    </w:p>
    <w:p w14:paraId="528127E0" w14:textId="6E9C269F" w:rsidR="00EC66A3" w:rsidRPr="0049648A" w:rsidRDefault="0049648A" w:rsidP="00E1521D">
      <w:pPr>
        <w:jc w:val="both"/>
        <w:rPr>
          <w:u w:val="single"/>
        </w:rPr>
      </w:pPr>
      <w:r>
        <w:rPr>
          <w:color w:val="275317" w:themeColor="accent6" w:themeShade="80"/>
        </w:rPr>
        <w:t>Correcto, el sistema BMS permite el control del funcionamiento y del estado de la batería.</w:t>
      </w:r>
    </w:p>
    <w:p w14:paraId="7DC4C9E0" w14:textId="77777777" w:rsidR="00EC66A3" w:rsidRPr="008672D4" w:rsidRDefault="00EC66A3" w:rsidP="008672D4">
      <w:pPr>
        <w:jc w:val="both"/>
        <w:rPr>
          <w:u w:val="single"/>
        </w:rPr>
      </w:pPr>
    </w:p>
    <w:p w14:paraId="01818DAA" w14:textId="77777777" w:rsidR="00EC66A3" w:rsidRPr="009F169F" w:rsidRDefault="00EC66A3" w:rsidP="00E1521D">
      <w:pPr>
        <w:pStyle w:val="Prrafodelista"/>
        <w:jc w:val="both"/>
        <w:rPr>
          <w:rFonts w:ascii="Cambria" w:hAnsi="Cambria"/>
          <w:b/>
          <w:bCs/>
        </w:rPr>
      </w:pPr>
      <w:r w:rsidRPr="009F169F">
        <w:rPr>
          <w:u w:val="single"/>
        </w:rPr>
        <w:tab/>
      </w:r>
      <w:r w:rsidRPr="009F169F">
        <w:rPr>
          <w:u w:val="single"/>
        </w:rPr>
        <w:tab/>
      </w:r>
    </w:p>
    <w:p w14:paraId="78B5CD90" w14:textId="77777777" w:rsidR="00BA62EE" w:rsidRPr="009F169F" w:rsidRDefault="00BA62EE" w:rsidP="00E1521D">
      <w:pPr>
        <w:jc w:val="both"/>
        <w:rPr>
          <w:rFonts w:ascii="Cambria" w:hAnsi="Cambria"/>
          <w:b/>
          <w:bCs/>
        </w:rPr>
      </w:pPr>
    </w:p>
    <w:p w14:paraId="7846FBB8" w14:textId="77777777" w:rsidR="002B0CFE" w:rsidRPr="002B0CFE" w:rsidRDefault="00EC66A3" w:rsidP="00E1521D">
      <w:pPr>
        <w:shd w:val="clear" w:color="auto" w:fill="E8E8E8" w:themeFill="background2"/>
        <w:jc w:val="both"/>
        <w:rPr>
          <w:rFonts w:ascii="Cambria" w:hAnsi="Cambria"/>
          <w:b/>
          <w:bCs/>
        </w:rPr>
      </w:pPr>
      <w:r>
        <w:rPr>
          <w:rFonts w:ascii="Cambria" w:hAnsi="Cambria"/>
          <w:b/>
          <w:bCs/>
        </w:rPr>
        <w:t>Consulta No.10</w:t>
      </w:r>
      <w:r w:rsidRPr="00F825D5">
        <w:rPr>
          <w:rFonts w:ascii="Cambria" w:hAnsi="Cambria"/>
          <w:b/>
          <w:bCs/>
        </w:rPr>
        <w:t xml:space="preserve">.- </w:t>
      </w:r>
      <w:r w:rsidR="002B0CFE" w:rsidRPr="002B0CFE">
        <w:rPr>
          <w:rFonts w:ascii="Cambria" w:hAnsi="Cambria"/>
          <w:b/>
          <w:bCs/>
        </w:rPr>
        <w:t xml:space="preserve">Sobre PDGT luminarias con batería de emergencia:  </w:t>
      </w:r>
    </w:p>
    <w:p w14:paraId="1A0D3B6E" w14:textId="63BA6EEE" w:rsidR="00EC66A3" w:rsidRPr="00EC66A3" w:rsidRDefault="002B0CFE" w:rsidP="00E1521D">
      <w:pPr>
        <w:shd w:val="clear" w:color="auto" w:fill="E8E8E8" w:themeFill="background2"/>
        <w:jc w:val="both"/>
        <w:rPr>
          <w:rFonts w:ascii="Cambria" w:hAnsi="Cambria"/>
          <w:b/>
          <w:bCs/>
        </w:rPr>
      </w:pPr>
      <w:r w:rsidRPr="002B0CFE">
        <w:rPr>
          <w:rFonts w:ascii="Cambria" w:hAnsi="Cambria"/>
          <w:b/>
          <w:bCs/>
        </w:rPr>
        <w:t>• Nuestra Consulta: Existe algún requerimiento con respecto al tiempo de autonomía que debe durar la luminaria encendida con energía de la batería.</w:t>
      </w:r>
    </w:p>
    <w:p w14:paraId="6D06C959" w14:textId="77777777" w:rsidR="00EC66A3" w:rsidRDefault="00EC66A3" w:rsidP="00E1521D">
      <w:pPr>
        <w:jc w:val="both"/>
        <w:rPr>
          <w:rFonts w:ascii="Cambria" w:hAnsi="Cambria"/>
          <w:b/>
          <w:bCs/>
        </w:rPr>
      </w:pPr>
    </w:p>
    <w:p w14:paraId="37E2A83F" w14:textId="77777777" w:rsidR="002B0CFE" w:rsidRPr="00BA62EE" w:rsidRDefault="002B0CFE" w:rsidP="00E1521D">
      <w:pPr>
        <w:jc w:val="both"/>
        <w:rPr>
          <w:rFonts w:ascii="Cambria" w:hAnsi="Cambria"/>
          <w:i/>
          <w:iCs/>
        </w:rPr>
      </w:pPr>
      <w:r w:rsidRPr="00BA62EE">
        <w:rPr>
          <w:rFonts w:ascii="Cambria" w:hAnsi="Cambria"/>
          <w:b/>
          <w:bCs/>
        </w:rPr>
        <w:t>Respuesta</w:t>
      </w:r>
      <w:r w:rsidRPr="00BA62EE">
        <w:rPr>
          <w:rFonts w:ascii="Cambria" w:hAnsi="Cambria"/>
        </w:rPr>
        <w:t xml:space="preserve">: </w:t>
      </w:r>
    </w:p>
    <w:p w14:paraId="4E754FAD" w14:textId="63C171DE" w:rsidR="002B0CFE" w:rsidRPr="006B76E4" w:rsidRDefault="0049648A" w:rsidP="00E1521D">
      <w:pPr>
        <w:jc w:val="both"/>
        <w:rPr>
          <w:u w:val="single"/>
        </w:rPr>
      </w:pPr>
      <w:r>
        <w:rPr>
          <w:color w:val="275317" w:themeColor="accent6" w:themeShade="80"/>
        </w:rPr>
        <w:t>No se exige ningún requerimiento de autonomía. Las luminarias con baterías de emergencias cumplirán la función de proporcionar el servicio mínimo de alumbrado frente a cortes del suministro eléctrico. Es por ello que se configuraran para proporcionar el mayor número de horas de autonomía, dependiendo de la potencia de la</w:t>
      </w:r>
      <w:r w:rsidR="00BC4168">
        <w:rPr>
          <w:color w:val="275317" w:themeColor="accent6" w:themeShade="80"/>
        </w:rPr>
        <w:t>s</w:t>
      </w:r>
      <w:r>
        <w:rPr>
          <w:color w:val="275317" w:themeColor="accent6" w:themeShade="80"/>
        </w:rPr>
        <w:t xml:space="preserve"> luminarias y el régimen de funcionamiento de la misma.</w:t>
      </w:r>
    </w:p>
    <w:p w14:paraId="057E7831" w14:textId="77777777" w:rsidR="002B0CFE" w:rsidRDefault="002B0CFE" w:rsidP="00E1521D">
      <w:pPr>
        <w:pStyle w:val="Prrafodelista"/>
        <w:jc w:val="both"/>
        <w:rPr>
          <w:u w:val="single"/>
        </w:rPr>
      </w:pPr>
    </w:p>
    <w:p w14:paraId="5FD5A932" w14:textId="77777777" w:rsidR="002B0CFE" w:rsidRDefault="002B0CFE" w:rsidP="00E1521D">
      <w:pPr>
        <w:pStyle w:val="Prrafodelista"/>
        <w:jc w:val="both"/>
        <w:rPr>
          <w:u w:val="single"/>
        </w:rPr>
      </w:pPr>
    </w:p>
    <w:p w14:paraId="22C8C240" w14:textId="77777777" w:rsidR="002B0CFE" w:rsidRDefault="002B0CFE" w:rsidP="00E1521D">
      <w:pPr>
        <w:pStyle w:val="Prrafodelista"/>
        <w:jc w:val="both"/>
        <w:rPr>
          <w:u w:val="single"/>
        </w:rPr>
      </w:pPr>
    </w:p>
    <w:p w14:paraId="0AD0D7FC" w14:textId="77777777" w:rsidR="002B0CFE" w:rsidRPr="00BA62EE" w:rsidRDefault="002B0CFE" w:rsidP="00E1521D">
      <w:pPr>
        <w:pStyle w:val="Prrafodelista"/>
        <w:jc w:val="both"/>
        <w:rPr>
          <w:rFonts w:ascii="Cambria" w:hAnsi="Cambria"/>
          <w:b/>
          <w:bCs/>
        </w:rPr>
      </w:pPr>
      <w:r w:rsidRPr="00BA62EE">
        <w:rPr>
          <w:u w:val="single"/>
        </w:rPr>
        <w:tab/>
      </w:r>
      <w:r w:rsidRPr="00BA62EE">
        <w:rPr>
          <w:u w:val="single"/>
        </w:rPr>
        <w:tab/>
      </w:r>
    </w:p>
    <w:p w14:paraId="560BB827" w14:textId="77777777" w:rsidR="00200093" w:rsidRPr="00200093" w:rsidRDefault="002B0CFE" w:rsidP="00E1521D">
      <w:pPr>
        <w:shd w:val="clear" w:color="auto" w:fill="E8E8E8" w:themeFill="background2"/>
        <w:jc w:val="both"/>
        <w:rPr>
          <w:rFonts w:ascii="Cambria" w:hAnsi="Cambria"/>
          <w:b/>
          <w:bCs/>
        </w:rPr>
      </w:pPr>
      <w:r>
        <w:rPr>
          <w:rFonts w:ascii="Cambria" w:hAnsi="Cambria"/>
          <w:b/>
          <w:bCs/>
        </w:rPr>
        <w:t>Consulta No.11</w:t>
      </w:r>
      <w:r w:rsidRPr="00F825D5">
        <w:rPr>
          <w:rFonts w:ascii="Cambria" w:hAnsi="Cambria"/>
          <w:b/>
          <w:bCs/>
        </w:rPr>
        <w:t xml:space="preserve">.- </w:t>
      </w:r>
      <w:r w:rsidR="00200093" w:rsidRPr="00200093">
        <w:rPr>
          <w:rFonts w:ascii="Cambria" w:hAnsi="Cambria"/>
          <w:b/>
          <w:bCs/>
        </w:rPr>
        <w:t xml:space="preserve">Sobre PDGT luminarias con batería de emergencia: Ítem 5.4 línea 68 en Excel: </w:t>
      </w:r>
    </w:p>
    <w:p w14:paraId="1AA4916D" w14:textId="231BD303" w:rsidR="00200093" w:rsidRPr="00200093" w:rsidRDefault="00200093" w:rsidP="00E1521D">
      <w:pPr>
        <w:shd w:val="clear" w:color="auto" w:fill="E8E8E8" w:themeFill="background2"/>
        <w:jc w:val="both"/>
        <w:rPr>
          <w:rFonts w:ascii="Cambria" w:hAnsi="Cambria"/>
          <w:b/>
          <w:bCs/>
        </w:rPr>
      </w:pPr>
      <w:r w:rsidRPr="00200093">
        <w:rPr>
          <w:rFonts w:ascii="Cambria" w:hAnsi="Cambria"/>
          <w:b/>
          <w:bCs/>
        </w:rPr>
        <w:t xml:space="preserve">• Dice actualmente: "Capacidad de </w:t>
      </w:r>
      <w:r w:rsidR="00A70A11" w:rsidRPr="00200093">
        <w:rPr>
          <w:rFonts w:ascii="Cambria" w:hAnsi="Cambria"/>
          <w:b/>
          <w:bCs/>
        </w:rPr>
        <w:t>batería</w:t>
      </w:r>
      <w:r w:rsidRPr="00200093">
        <w:rPr>
          <w:rFonts w:ascii="Cambria" w:hAnsi="Cambria"/>
          <w:b/>
          <w:bCs/>
        </w:rPr>
        <w:t xml:space="preserve"> 150Wh.". </w:t>
      </w:r>
    </w:p>
    <w:p w14:paraId="6E0D4116" w14:textId="6CED594E" w:rsidR="00EC66A3" w:rsidRPr="00EC66A3" w:rsidRDefault="00200093" w:rsidP="00E1521D">
      <w:pPr>
        <w:shd w:val="clear" w:color="auto" w:fill="E8E8E8" w:themeFill="background2"/>
        <w:jc w:val="both"/>
        <w:rPr>
          <w:rFonts w:ascii="Cambria" w:hAnsi="Cambria"/>
          <w:b/>
          <w:bCs/>
        </w:rPr>
      </w:pPr>
      <w:r w:rsidRPr="00200093">
        <w:rPr>
          <w:rFonts w:ascii="Cambria" w:hAnsi="Cambria"/>
          <w:b/>
          <w:bCs/>
        </w:rPr>
        <w:t xml:space="preserve">• Nuestra Consulta: Este requerimiento actualmente es igual indistintamente de la potencia de la luminaria. Solicitamos sea evaluado equiparar este requerimiento con la potencia de cada luminaria, esto </w:t>
      </w:r>
      <w:r w:rsidR="006B76E4" w:rsidRPr="00200093">
        <w:rPr>
          <w:rFonts w:ascii="Cambria" w:hAnsi="Cambria"/>
          <w:b/>
          <w:bCs/>
        </w:rPr>
        <w:t>permitiría</w:t>
      </w:r>
      <w:r w:rsidRPr="00200093">
        <w:rPr>
          <w:rFonts w:ascii="Cambria" w:hAnsi="Cambria"/>
          <w:b/>
          <w:bCs/>
        </w:rPr>
        <w:t xml:space="preserve"> reducir costos en algunas potencias donde el requerimiento de 150Wh pudiera estar sobre dimensionado.</w:t>
      </w:r>
    </w:p>
    <w:p w14:paraId="5087C33F" w14:textId="77777777" w:rsidR="00200093" w:rsidRDefault="00200093" w:rsidP="00E1521D">
      <w:pPr>
        <w:jc w:val="both"/>
        <w:rPr>
          <w:rFonts w:ascii="Cambria" w:hAnsi="Cambria"/>
          <w:b/>
          <w:bCs/>
        </w:rPr>
      </w:pPr>
    </w:p>
    <w:p w14:paraId="5C207859" w14:textId="77777777" w:rsidR="00200093" w:rsidRPr="008672D4" w:rsidRDefault="00200093" w:rsidP="00E1521D">
      <w:pPr>
        <w:jc w:val="both"/>
        <w:rPr>
          <w:color w:val="275317" w:themeColor="accent6" w:themeShade="80"/>
        </w:rPr>
      </w:pPr>
      <w:r w:rsidRPr="00BA62EE">
        <w:rPr>
          <w:rFonts w:ascii="Cambria" w:hAnsi="Cambria"/>
          <w:b/>
          <w:bCs/>
        </w:rPr>
        <w:t>Respuesta</w:t>
      </w:r>
      <w:r w:rsidRPr="00BA62EE">
        <w:rPr>
          <w:rFonts w:ascii="Cambria" w:hAnsi="Cambria"/>
        </w:rPr>
        <w:t xml:space="preserve">: </w:t>
      </w:r>
    </w:p>
    <w:p w14:paraId="105AAEB5" w14:textId="0404601D" w:rsidR="0049648A" w:rsidRPr="008672D4" w:rsidRDefault="0049648A" w:rsidP="00E1521D">
      <w:pPr>
        <w:jc w:val="both"/>
        <w:rPr>
          <w:color w:val="275317" w:themeColor="accent6" w:themeShade="80"/>
        </w:rPr>
      </w:pPr>
      <w:r w:rsidRPr="0049648A">
        <w:rPr>
          <w:color w:val="275317" w:themeColor="accent6" w:themeShade="80"/>
        </w:rPr>
        <w:t xml:space="preserve">Se mantiene la capacidad de la batería para todos los rangos de </w:t>
      </w:r>
      <w:r w:rsidR="00781F5A">
        <w:rPr>
          <w:color w:val="275317" w:themeColor="accent6" w:themeShade="80"/>
        </w:rPr>
        <w:t>potencia</w:t>
      </w:r>
      <w:r w:rsidRPr="008672D4">
        <w:rPr>
          <w:color w:val="275317" w:themeColor="accent6" w:themeShade="80"/>
        </w:rPr>
        <w:t>.</w:t>
      </w:r>
    </w:p>
    <w:p w14:paraId="2255C5F7" w14:textId="77777777" w:rsidR="00200093" w:rsidRDefault="00200093" w:rsidP="00E1521D">
      <w:pPr>
        <w:pStyle w:val="Prrafodelista"/>
        <w:jc w:val="both"/>
        <w:rPr>
          <w:u w:val="single"/>
        </w:rPr>
      </w:pPr>
    </w:p>
    <w:p w14:paraId="4F986281" w14:textId="77777777" w:rsidR="00200093" w:rsidRDefault="00200093" w:rsidP="00E1521D">
      <w:pPr>
        <w:pStyle w:val="Prrafodelista"/>
        <w:jc w:val="both"/>
        <w:rPr>
          <w:u w:val="single"/>
        </w:rPr>
      </w:pPr>
    </w:p>
    <w:p w14:paraId="2407DD89" w14:textId="77777777" w:rsidR="00200093" w:rsidRDefault="00200093" w:rsidP="00E1521D">
      <w:pPr>
        <w:pStyle w:val="Prrafodelista"/>
        <w:jc w:val="both"/>
        <w:rPr>
          <w:u w:val="single"/>
        </w:rPr>
      </w:pPr>
    </w:p>
    <w:p w14:paraId="5CCA8F1C" w14:textId="77777777" w:rsidR="00200093" w:rsidRPr="00BA62EE" w:rsidRDefault="00200093" w:rsidP="00E1521D">
      <w:pPr>
        <w:pStyle w:val="Prrafodelista"/>
        <w:jc w:val="both"/>
        <w:rPr>
          <w:rFonts w:ascii="Cambria" w:hAnsi="Cambria"/>
          <w:b/>
          <w:bCs/>
        </w:rPr>
      </w:pPr>
      <w:r w:rsidRPr="00BA62EE">
        <w:rPr>
          <w:u w:val="single"/>
        </w:rPr>
        <w:tab/>
      </w:r>
      <w:r w:rsidRPr="00BA62EE">
        <w:rPr>
          <w:u w:val="single"/>
        </w:rPr>
        <w:tab/>
      </w:r>
    </w:p>
    <w:p w14:paraId="367E8F34" w14:textId="77777777" w:rsidR="00200093" w:rsidRDefault="00200093" w:rsidP="00E1521D">
      <w:pPr>
        <w:jc w:val="both"/>
        <w:rPr>
          <w:rFonts w:ascii="Cambria" w:hAnsi="Cambria"/>
          <w:b/>
          <w:bCs/>
        </w:rPr>
      </w:pPr>
    </w:p>
    <w:p w14:paraId="6856B16C" w14:textId="6EFE98B5" w:rsidR="00606190" w:rsidRPr="008672D4" w:rsidRDefault="00200093" w:rsidP="00E1521D">
      <w:pPr>
        <w:shd w:val="clear" w:color="auto" w:fill="E8E8E8" w:themeFill="background2"/>
        <w:jc w:val="both"/>
        <w:rPr>
          <w:rFonts w:ascii="Cambria" w:hAnsi="Cambria"/>
          <w:b/>
          <w:bCs/>
        </w:rPr>
      </w:pPr>
      <w:r w:rsidRPr="008672D4">
        <w:rPr>
          <w:rFonts w:ascii="Cambria" w:hAnsi="Cambria"/>
          <w:b/>
          <w:bCs/>
        </w:rPr>
        <w:t>Consulta No.1</w:t>
      </w:r>
      <w:r w:rsidR="00D22D77" w:rsidRPr="008672D4">
        <w:rPr>
          <w:rFonts w:ascii="Cambria" w:hAnsi="Cambria"/>
          <w:b/>
          <w:bCs/>
        </w:rPr>
        <w:t>2</w:t>
      </w:r>
      <w:r w:rsidRPr="008672D4">
        <w:rPr>
          <w:rFonts w:ascii="Cambria" w:hAnsi="Cambria"/>
          <w:b/>
          <w:bCs/>
        </w:rPr>
        <w:t xml:space="preserve">.- </w:t>
      </w:r>
      <w:r w:rsidR="00606190" w:rsidRPr="008672D4">
        <w:rPr>
          <w:rFonts w:ascii="Cambria" w:hAnsi="Cambria"/>
          <w:b/>
          <w:bCs/>
        </w:rPr>
        <w:t xml:space="preserve">Sobre </w:t>
      </w:r>
      <w:proofErr w:type="spellStart"/>
      <w:r w:rsidR="00606190" w:rsidRPr="008672D4">
        <w:rPr>
          <w:rFonts w:ascii="Cambria" w:hAnsi="Cambria"/>
          <w:b/>
          <w:bCs/>
        </w:rPr>
        <w:t>Item</w:t>
      </w:r>
      <w:proofErr w:type="spellEnd"/>
      <w:r w:rsidR="00606190" w:rsidRPr="008672D4">
        <w:rPr>
          <w:rFonts w:ascii="Cambria" w:hAnsi="Cambria"/>
          <w:b/>
          <w:bCs/>
        </w:rPr>
        <w:t xml:space="preserve"> 12, Sección III, Criterios de Evaluación y Calificación en el Pliegos de condiciones AP-LPI-MEM-BID-01-</w:t>
      </w:r>
      <w:proofErr w:type="gramStart"/>
      <w:r w:rsidR="00606190" w:rsidRPr="008672D4">
        <w:rPr>
          <w:rFonts w:ascii="Cambria" w:hAnsi="Cambria"/>
          <w:b/>
          <w:bCs/>
        </w:rPr>
        <w:t>2026 :</w:t>
      </w:r>
      <w:proofErr w:type="gramEnd"/>
      <w:r w:rsidR="00606190" w:rsidRPr="008672D4">
        <w:rPr>
          <w:rFonts w:ascii="Cambria" w:hAnsi="Cambria"/>
          <w:b/>
          <w:bCs/>
        </w:rPr>
        <w:t xml:space="preserve">   </w:t>
      </w:r>
    </w:p>
    <w:p w14:paraId="435B80A5" w14:textId="506C9BE3" w:rsidR="00606190" w:rsidRPr="008672D4" w:rsidRDefault="00606190" w:rsidP="00E1521D">
      <w:pPr>
        <w:shd w:val="clear" w:color="auto" w:fill="E8E8E8" w:themeFill="background2"/>
        <w:jc w:val="both"/>
        <w:rPr>
          <w:rFonts w:ascii="Cambria" w:hAnsi="Cambria"/>
          <w:b/>
          <w:bCs/>
        </w:rPr>
      </w:pPr>
      <w:r w:rsidRPr="008672D4">
        <w:rPr>
          <w:rFonts w:ascii="Cambria" w:hAnsi="Cambria"/>
          <w:b/>
          <w:bCs/>
        </w:rPr>
        <w:t xml:space="preserve">• Dice actualmente: " Memoria Técnica del Licitante. Estudio y propuesta luminotécnica que justifique la solución propuesta para cada una de las vías objeto de actuación, a efectuar en función de los datos de la instalación actual, considerando los modelos lumínicos que se muestran en el ANEXO II: MODELOS LUMÍNICOS." </w:t>
      </w:r>
    </w:p>
    <w:p w14:paraId="12E2BA9F" w14:textId="3703CBB7" w:rsidR="00606190" w:rsidRPr="008672D4" w:rsidRDefault="00606190" w:rsidP="00E1521D">
      <w:pPr>
        <w:shd w:val="clear" w:color="auto" w:fill="E8E8E8" w:themeFill="background2"/>
        <w:jc w:val="both"/>
        <w:rPr>
          <w:rFonts w:ascii="Cambria" w:hAnsi="Cambria"/>
          <w:b/>
          <w:bCs/>
        </w:rPr>
      </w:pPr>
      <w:r w:rsidRPr="008672D4">
        <w:rPr>
          <w:rFonts w:ascii="Cambria" w:hAnsi="Cambria"/>
          <w:b/>
          <w:bCs/>
        </w:rPr>
        <w:t xml:space="preserve">• Nuestra Consulta: ¿Se debe presentar un estudio lumínico por cada vía geolocalizada en los Anexos II? ¿Aceptarían una propuesta en cumplimiento con SIE para la categorización de tipo de vía “M” con 4 o 6 potencias en lugar de 14 potencias? </w:t>
      </w:r>
    </w:p>
    <w:p w14:paraId="61678312" w14:textId="34FB39D4" w:rsidR="00606190" w:rsidRPr="008672D4" w:rsidRDefault="00606190" w:rsidP="00E1521D">
      <w:pPr>
        <w:shd w:val="clear" w:color="auto" w:fill="E8E8E8" w:themeFill="background2"/>
        <w:jc w:val="both"/>
        <w:rPr>
          <w:rFonts w:ascii="Cambria" w:hAnsi="Cambria"/>
          <w:b/>
          <w:bCs/>
        </w:rPr>
      </w:pPr>
      <w:r w:rsidRPr="008672D4">
        <w:rPr>
          <w:rFonts w:ascii="Cambria" w:hAnsi="Cambria"/>
          <w:b/>
          <w:bCs/>
        </w:rPr>
        <w:lastRenderedPageBreak/>
        <w:t xml:space="preserve">• Nuestra Solicitud: Solicitamos amablemente a este honorable Comité evaluar la posibilidad de enmendar este punto aclarando: </w:t>
      </w:r>
    </w:p>
    <w:p w14:paraId="61B48CC3" w14:textId="3100E618" w:rsidR="00200093" w:rsidRPr="008672D4" w:rsidRDefault="00606190" w:rsidP="00E1521D">
      <w:pPr>
        <w:shd w:val="clear" w:color="auto" w:fill="E8E8E8" w:themeFill="background2"/>
        <w:jc w:val="both"/>
        <w:rPr>
          <w:rFonts w:ascii="Cambria" w:hAnsi="Cambria"/>
          <w:b/>
          <w:bCs/>
        </w:rPr>
      </w:pPr>
      <w:r w:rsidRPr="008672D4">
        <w:rPr>
          <w:rFonts w:ascii="Cambria" w:hAnsi="Cambria"/>
          <w:b/>
          <w:bCs/>
        </w:rPr>
        <w:t xml:space="preserve">• En caso de requerir estudios lumínicos para cada vía y considerando que el número de vías a evaluar es mayor a 20,000 secciones, este punto puede ser excluyente para los oferentes interesados, dado que, por tiempo, no es posible entregar dichos estudios en menos de 6 meses solicitamos ampliación de cierre para la licitación y también Solicitamos se compartan perfiles tipos de vía para poder trabajar de manera equitativa los participantes, al solo tener geolocalización se tendrán diferencias de diseños y criterios entre los oferentes.  </w:t>
      </w:r>
    </w:p>
    <w:p w14:paraId="6D2264E5" w14:textId="77777777" w:rsidR="00200093" w:rsidRPr="008672D4" w:rsidRDefault="00200093" w:rsidP="008672D4">
      <w:pPr>
        <w:pStyle w:val="Prrafodelista"/>
        <w:jc w:val="both"/>
        <w:rPr>
          <w:rFonts w:ascii="Cambria" w:hAnsi="Cambria"/>
          <w:b/>
          <w:bCs/>
        </w:rPr>
      </w:pPr>
    </w:p>
    <w:p w14:paraId="7D3EBA67" w14:textId="77777777" w:rsidR="006F2D83" w:rsidRPr="008672D4" w:rsidRDefault="006F2D83" w:rsidP="008672D4">
      <w:pPr>
        <w:jc w:val="both"/>
        <w:rPr>
          <w:rFonts w:ascii="Cambria" w:hAnsi="Cambria"/>
          <w:b/>
          <w:bCs/>
        </w:rPr>
      </w:pPr>
      <w:r w:rsidRPr="008672D4">
        <w:rPr>
          <w:rFonts w:ascii="Cambria" w:hAnsi="Cambria"/>
          <w:b/>
          <w:bCs/>
          <w:highlight w:val="green"/>
        </w:rPr>
        <w:t>Respuesta:</w:t>
      </w:r>
      <w:r w:rsidRPr="008672D4">
        <w:rPr>
          <w:rFonts w:ascii="Cambria" w:hAnsi="Cambria"/>
          <w:b/>
          <w:bCs/>
        </w:rPr>
        <w:t xml:space="preserve"> </w:t>
      </w:r>
    </w:p>
    <w:p w14:paraId="6DC0953F" w14:textId="5A70738E" w:rsidR="001A334D" w:rsidRPr="008672D4" w:rsidRDefault="001B1F0A" w:rsidP="001A334D">
      <w:pPr>
        <w:jc w:val="both"/>
        <w:rPr>
          <w:color w:val="EE0000"/>
          <w:u w:val="single"/>
        </w:rPr>
      </w:pPr>
      <w:r>
        <w:rPr>
          <w:color w:val="275317" w:themeColor="accent6" w:themeShade="80"/>
        </w:rPr>
        <w:t>Harán</w:t>
      </w:r>
      <w:r w:rsidR="008672D4" w:rsidRPr="008672D4">
        <w:rPr>
          <w:color w:val="275317" w:themeColor="accent6" w:themeShade="80"/>
        </w:rPr>
        <w:t xml:space="preserve"> </w:t>
      </w:r>
      <w:r w:rsidR="00A70A11" w:rsidRPr="008672D4">
        <w:rPr>
          <w:color w:val="275317" w:themeColor="accent6" w:themeShade="80"/>
        </w:rPr>
        <w:t>análisis de simulaciones para identificar el muestreo mínimo de cumplimiento</w:t>
      </w:r>
      <w:r w:rsidR="008672D4" w:rsidRPr="008672D4">
        <w:rPr>
          <w:color w:val="275317" w:themeColor="accent6" w:themeShade="80"/>
        </w:rPr>
        <w:t xml:space="preserve">. </w:t>
      </w:r>
      <w:r w:rsidR="001A334D">
        <w:rPr>
          <w:color w:val="275317" w:themeColor="accent6" w:themeShade="80"/>
        </w:rPr>
        <w:t xml:space="preserve">Se proporciona </w:t>
      </w:r>
      <w:r w:rsidR="001A334D" w:rsidRPr="00C51FCB">
        <w:rPr>
          <w:color w:val="275317" w:themeColor="accent6" w:themeShade="80"/>
        </w:rPr>
        <w:t>el archivo Excel “TABLA MODELOS LUMÍNICOS”</w:t>
      </w:r>
      <w:r w:rsidR="001A334D">
        <w:rPr>
          <w:color w:val="275317" w:themeColor="accent6" w:themeShade="80"/>
        </w:rPr>
        <w:t xml:space="preserve"> con la geometría de las secciones de cálculo. Asimismo, Se exige el número de luminaria correspondiente a cada lote.</w:t>
      </w:r>
    </w:p>
    <w:p w14:paraId="102A7AF0" w14:textId="77777777" w:rsidR="001A334D" w:rsidRPr="005E4CD9" w:rsidRDefault="001A334D" w:rsidP="001A334D">
      <w:pPr>
        <w:pStyle w:val="Prrafodelista"/>
        <w:numPr>
          <w:ilvl w:val="0"/>
          <w:numId w:val="3"/>
        </w:numPr>
        <w:jc w:val="both"/>
        <w:rPr>
          <w:color w:val="275317" w:themeColor="accent6" w:themeShade="80"/>
        </w:rPr>
      </w:pPr>
      <w:r w:rsidRPr="005E4CD9">
        <w:rPr>
          <w:color w:val="275317" w:themeColor="accent6" w:themeShade="80"/>
        </w:rPr>
        <w:t xml:space="preserve">EDE SUR </w:t>
      </w:r>
      <w:r>
        <w:rPr>
          <w:color w:val="275317" w:themeColor="accent6" w:themeShade="80"/>
        </w:rPr>
        <w:t xml:space="preserve">- </w:t>
      </w:r>
      <w:r w:rsidRPr="005E4CD9">
        <w:rPr>
          <w:color w:val="275317" w:themeColor="accent6" w:themeShade="80"/>
        </w:rPr>
        <w:t xml:space="preserve">100 </w:t>
      </w:r>
      <w:r>
        <w:rPr>
          <w:color w:val="275317" w:themeColor="accent6" w:themeShade="80"/>
        </w:rPr>
        <w:t xml:space="preserve">secciones </w:t>
      </w:r>
    </w:p>
    <w:p w14:paraId="48BB1623" w14:textId="77777777" w:rsidR="001A334D" w:rsidRPr="005E4CD9" w:rsidRDefault="001A334D" w:rsidP="001A334D">
      <w:pPr>
        <w:pStyle w:val="Prrafodelista"/>
        <w:numPr>
          <w:ilvl w:val="0"/>
          <w:numId w:val="3"/>
        </w:numPr>
        <w:jc w:val="both"/>
        <w:rPr>
          <w:color w:val="275317" w:themeColor="accent6" w:themeShade="80"/>
        </w:rPr>
      </w:pPr>
      <w:r>
        <w:rPr>
          <w:color w:val="275317" w:themeColor="accent6" w:themeShade="80"/>
        </w:rPr>
        <w:t>EDE NORTE – 100 secciones</w:t>
      </w:r>
    </w:p>
    <w:p w14:paraId="4463D905" w14:textId="53F65F61" w:rsidR="00A70A11" w:rsidRPr="001B1F0A" w:rsidRDefault="001A334D" w:rsidP="001B1F0A">
      <w:pPr>
        <w:pStyle w:val="Prrafodelista"/>
        <w:numPr>
          <w:ilvl w:val="0"/>
          <w:numId w:val="3"/>
        </w:numPr>
        <w:jc w:val="both"/>
        <w:rPr>
          <w:b/>
        </w:rPr>
      </w:pPr>
      <w:r>
        <w:rPr>
          <w:color w:val="275317" w:themeColor="accent6" w:themeShade="80"/>
        </w:rPr>
        <w:t>EDE ESTE - 110 secciones</w:t>
      </w:r>
    </w:p>
    <w:p w14:paraId="44D14FEB" w14:textId="77777777" w:rsidR="00A70A11" w:rsidRDefault="00A70A11" w:rsidP="00E1521D">
      <w:pPr>
        <w:pStyle w:val="Prrafodelista"/>
        <w:jc w:val="both"/>
        <w:rPr>
          <w:u w:val="single"/>
        </w:rPr>
      </w:pPr>
    </w:p>
    <w:p w14:paraId="64BAF417" w14:textId="4589716E" w:rsidR="006F2D83" w:rsidRPr="00BA62EE" w:rsidRDefault="006F2D83" w:rsidP="00E1521D">
      <w:pPr>
        <w:pStyle w:val="Prrafodelista"/>
        <w:jc w:val="both"/>
        <w:rPr>
          <w:rFonts w:ascii="Cambria" w:hAnsi="Cambria"/>
          <w:b/>
          <w:bCs/>
        </w:rPr>
      </w:pPr>
      <w:r w:rsidRPr="00BA62EE">
        <w:rPr>
          <w:u w:val="single"/>
        </w:rPr>
        <w:tab/>
      </w:r>
      <w:r w:rsidRPr="00BA62EE">
        <w:rPr>
          <w:u w:val="single"/>
        </w:rPr>
        <w:tab/>
      </w:r>
    </w:p>
    <w:p w14:paraId="79F21EF5" w14:textId="77777777" w:rsidR="005D21B6" w:rsidRPr="008672D4" w:rsidRDefault="006F2D83" w:rsidP="00E1521D">
      <w:pPr>
        <w:shd w:val="clear" w:color="auto" w:fill="E8E8E8" w:themeFill="background2"/>
        <w:jc w:val="both"/>
        <w:rPr>
          <w:rFonts w:ascii="Cambria" w:hAnsi="Cambria"/>
          <w:b/>
          <w:bCs/>
        </w:rPr>
      </w:pPr>
      <w:r w:rsidRPr="008672D4">
        <w:rPr>
          <w:rFonts w:ascii="Cambria" w:hAnsi="Cambria"/>
          <w:b/>
          <w:bCs/>
        </w:rPr>
        <w:t>Consulta No.1</w:t>
      </w:r>
      <w:r w:rsidR="00D22D77" w:rsidRPr="008672D4">
        <w:rPr>
          <w:rFonts w:ascii="Cambria" w:hAnsi="Cambria"/>
          <w:b/>
          <w:bCs/>
        </w:rPr>
        <w:t>3</w:t>
      </w:r>
      <w:r w:rsidRPr="008672D4">
        <w:rPr>
          <w:rFonts w:ascii="Cambria" w:hAnsi="Cambria"/>
          <w:b/>
          <w:bCs/>
        </w:rPr>
        <w:t xml:space="preserve">.- </w:t>
      </w:r>
      <w:r w:rsidR="005D21B6" w:rsidRPr="008672D4">
        <w:rPr>
          <w:rFonts w:ascii="Cambria" w:hAnsi="Cambria"/>
          <w:b/>
          <w:bCs/>
        </w:rPr>
        <w:t xml:space="preserve">Sobre la potencia de consumo solicitada en PDGT vs información en anexo:  </w:t>
      </w:r>
    </w:p>
    <w:p w14:paraId="2EDC7FD2" w14:textId="589AA599" w:rsidR="00200093" w:rsidRPr="008672D4" w:rsidRDefault="005D21B6" w:rsidP="00E1521D">
      <w:pPr>
        <w:shd w:val="clear" w:color="auto" w:fill="E8E8E8" w:themeFill="background2"/>
        <w:jc w:val="both"/>
        <w:rPr>
          <w:rFonts w:ascii="Cambria" w:hAnsi="Cambria"/>
          <w:b/>
          <w:bCs/>
        </w:rPr>
      </w:pPr>
      <w:r w:rsidRPr="008672D4">
        <w:rPr>
          <w:rFonts w:ascii="Cambria" w:hAnsi="Cambria"/>
          <w:b/>
          <w:bCs/>
        </w:rPr>
        <w:t>Dice actualmente: Cada PDGT solicita las siguientes potencias:</w:t>
      </w:r>
    </w:p>
    <w:p w14:paraId="204706A5" w14:textId="707AC4D9" w:rsidR="006F2D83" w:rsidRPr="00441AA2" w:rsidRDefault="00804320" w:rsidP="00E1521D">
      <w:pPr>
        <w:shd w:val="clear" w:color="auto" w:fill="E8E8E8" w:themeFill="background2"/>
        <w:jc w:val="both"/>
        <w:rPr>
          <w:rFonts w:ascii="Cambria" w:hAnsi="Cambria"/>
          <w:b/>
          <w:bCs/>
          <w:highlight w:val="yellow"/>
        </w:rPr>
      </w:pPr>
      <w:r w:rsidRPr="00441AA2">
        <w:rPr>
          <w:rFonts w:ascii="Cambria" w:hAnsi="Cambria"/>
          <w:b/>
          <w:bCs/>
          <w:noProof/>
          <w:highlight w:val="yellow"/>
          <w:lang w:val="es-ES" w:eastAsia="es-ES"/>
        </w:rPr>
        <w:drawing>
          <wp:inline distT="0" distB="0" distL="0" distR="0" wp14:anchorId="30DEB776" wp14:editId="31F8E3D2">
            <wp:extent cx="5400040" cy="1360805"/>
            <wp:effectExtent l="0" t="0" r="0" b="0"/>
            <wp:docPr id="20152349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34915" name=""/>
                    <pic:cNvPicPr/>
                  </pic:nvPicPr>
                  <pic:blipFill>
                    <a:blip r:embed="rId12"/>
                    <a:stretch>
                      <a:fillRect/>
                    </a:stretch>
                  </pic:blipFill>
                  <pic:spPr>
                    <a:xfrm>
                      <a:off x="0" y="0"/>
                      <a:ext cx="5400040" cy="1360805"/>
                    </a:xfrm>
                    <a:prstGeom prst="rect">
                      <a:avLst/>
                    </a:prstGeom>
                  </pic:spPr>
                </pic:pic>
              </a:graphicData>
            </a:graphic>
          </wp:inline>
        </w:drawing>
      </w:r>
    </w:p>
    <w:p w14:paraId="67F121CE" w14:textId="0F9C1304" w:rsidR="00804320" w:rsidRPr="001B1F0A" w:rsidRDefault="00804320" w:rsidP="00E1521D">
      <w:pPr>
        <w:shd w:val="clear" w:color="auto" w:fill="E8E8E8" w:themeFill="background2"/>
        <w:jc w:val="both"/>
        <w:rPr>
          <w:rFonts w:ascii="Cambria" w:hAnsi="Cambria"/>
          <w:b/>
          <w:bCs/>
        </w:rPr>
      </w:pPr>
      <w:r w:rsidRPr="001B1F0A">
        <w:rPr>
          <w:rFonts w:ascii="Cambria" w:hAnsi="Cambria"/>
          <w:b/>
          <w:bCs/>
        </w:rPr>
        <w:t>Anexo AP5503_001103 DR-L1122 AAS-PGAS final pagina 11 Tabla 3 FUENTE: ESTUDIO CONSULTORÍA T&amp;S indica la sustitución de 6 potencias a LED</w:t>
      </w:r>
    </w:p>
    <w:p w14:paraId="65960DDD" w14:textId="11CABDF0" w:rsidR="00804320" w:rsidRPr="00441AA2" w:rsidRDefault="000E06B6" w:rsidP="00E1521D">
      <w:pPr>
        <w:shd w:val="clear" w:color="auto" w:fill="E8E8E8" w:themeFill="background2"/>
        <w:jc w:val="both"/>
        <w:rPr>
          <w:rFonts w:ascii="Cambria" w:hAnsi="Cambria"/>
          <w:b/>
          <w:bCs/>
          <w:highlight w:val="yellow"/>
        </w:rPr>
      </w:pPr>
      <w:r w:rsidRPr="00441AA2">
        <w:rPr>
          <w:rFonts w:ascii="Cambria" w:hAnsi="Cambria"/>
          <w:b/>
          <w:bCs/>
          <w:noProof/>
          <w:highlight w:val="yellow"/>
          <w:lang w:val="es-ES" w:eastAsia="es-ES"/>
        </w:rPr>
        <w:drawing>
          <wp:inline distT="0" distB="0" distL="0" distR="0" wp14:anchorId="29E55085" wp14:editId="36E04751">
            <wp:extent cx="5400040" cy="2450465"/>
            <wp:effectExtent l="0" t="0" r="0" b="6985"/>
            <wp:docPr id="3624154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15402" name=""/>
                    <pic:cNvPicPr/>
                  </pic:nvPicPr>
                  <pic:blipFill>
                    <a:blip r:embed="rId13"/>
                    <a:stretch>
                      <a:fillRect/>
                    </a:stretch>
                  </pic:blipFill>
                  <pic:spPr>
                    <a:xfrm>
                      <a:off x="0" y="0"/>
                      <a:ext cx="5400040" cy="2450465"/>
                    </a:xfrm>
                    <a:prstGeom prst="rect">
                      <a:avLst/>
                    </a:prstGeom>
                  </pic:spPr>
                </pic:pic>
              </a:graphicData>
            </a:graphic>
          </wp:inline>
        </w:drawing>
      </w:r>
    </w:p>
    <w:p w14:paraId="1C8392B8" w14:textId="519E11E1" w:rsidR="000E06B6" w:rsidRPr="00441AA2" w:rsidRDefault="009F626B" w:rsidP="00E1521D">
      <w:pPr>
        <w:pStyle w:val="Prrafodelista"/>
        <w:numPr>
          <w:ilvl w:val="0"/>
          <w:numId w:val="6"/>
        </w:numPr>
        <w:shd w:val="clear" w:color="auto" w:fill="E8E8E8" w:themeFill="background2"/>
        <w:jc w:val="both"/>
        <w:rPr>
          <w:rFonts w:ascii="Cambria" w:hAnsi="Cambria"/>
          <w:b/>
          <w:bCs/>
          <w:highlight w:val="yellow"/>
        </w:rPr>
      </w:pPr>
      <w:r w:rsidRPr="00441AA2">
        <w:rPr>
          <w:rFonts w:ascii="Cambria" w:hAnsi="Cambria"/>
          <w:b/>
          <w:bCs/>
          <w:highlight w:val="yellow"/>
        </w:rPr>
        <w:lastRenderedPageBreak/>
        <w:t>Nuestra Consulta: ¿Pueden clarificar si se debe ofertar cada potencia solicitada en PDGT? ¿Pueden aclarar como cada participante puede presentar su oferta en base a una mezcla de potencias o solo unas pocas de las 14 incluidas en PDGT? ¿Pueden compartir las dimensiones de cada perfil de carretera a considerar para la evaluación de potencia en LED (</w:t>
      </w:r>
      <w:proofErr w:type="gramStart"/>
      <w:r w:rsidRPr="00441AA2">
        <w:rPr>
          <w:rFonts w:ascii="Cambria" w:hAnsi="Cambria"/>
          <w:b/>
          <w:bCs/>
          <w:highlight w:val="yellow"/>
        </w:rPr>
        <w:t>considerando que dicha información no está incluida en el anexo 2?</w:t>
      </w:r>
      <w:proofErr w:type="gramEnd"/>
      <w:r w:rsidRPr="00441AA2">
        <w:rPr>
          <w:rFonts w:ascii="Cambria" w:hAnsi="Cambria"/>
          <w:b/>
          <w:bCs/>
          <w:highlight w:val="yellow"/>
        </w:rPr>
        <w:t xml:space="preserve"> </w:t>
      </w:r>
      <w:proofErr w:type="gramStart"/>
      <w:r w:rsidRPr="00441AA2">
        <w:rPr>
          <w:rFonts w:ascii="Cambria" w:hAnsi="Cambria"/>
          <w:b/>
          <w:bCs/>
          <w:highlight w:val="yellow"/>
        </w:rPr>
        <w:t>Planos en DWG y SHP Lote 1 EDESUR)?</w:t>
      </w:r>
      <w:proofErr w:type="gramEnd"/>
    </w:p>
    <w:p w14:paraId="3965E110" w14:textId="77777777" w:rsidR="001B1F0A" w:rsidRDefault="001B1F0A" w:rsidP="001B1F0A">
      <w:pPr>
        <w:jc w:val="both"/>
        <w:rPr>
          <w:rFonts w:ascii="Cambria" w:hAnsi="Cambria"/>
          <w:b/>
          <w:bCs/>
          <w:highlight w:val="green"/>
        </w:rPr>
      </w:pPr>
    </w:p>
    <w:p w14:paraId="1C067E81" w14:textId="78463B82" w:rsidR="001B1F0A" w:rsidRPr="008672D4" w:rsidRDefault="001B1F0A" w:rsidP="001B1F0A">
      <w:pPr>
        <w:jc w:val="both"/>
        <w:rPr>
          <w:rFonts w:ascii="Cambria" w:hAnsi="Cambria"/>
          <w:b/>
          <w:bCs/>
        </w:rPr>
      </w:pPr>
      <w:r w:rsidRPr="008672D4">
        <w:rPr>
          <w:rFonts w:ascii="Cambria" w:hAnsi="Cambria"/>
          <w:b/>
          <w:bCs/>
          <w:highlight w:val="green"/>
        </w:rPr>
        <w:t>Respuesta:</w:t>
      </w:r>
      <w:r w:rsidRPr="008672D4">
        <w:rPr>
          <w:rFonts w:ascii="Cambria" w:hAnsi="Cambria"/>
          <w:b/>
          <w:bCs/>
        </w:rPr>
        <w:t xml:space="preserve"> </w:t>
      </w:r>
    </w:p>
    <w:p w14:paraId="402FCAE5" w14:textId="77777777" w:rsidR="001B1F0A" w:rsidRPr="008672D4" w:rsidRDefault="001B1F0A" w:rsidP="001B1F0A">
      <w:pPr>
        <w:jc w:val="both"/>
        <w:rPr>
          <w:color w:val="EE0000"/>
          <w:u w:val="single"/>
        </w:rPr>
      </w:pPr>
      <w:r>
        <w:rPr>
          <w:color w:val="275317" w:themeColor="accent6" w:themeShade="80"/>
        </w:rPr>
        <w:t>Harán</w:t>
      </w:r>
      <w:r w:rsidRPr="008672D4">
        <w:rPr>
          <w:color w:val="275317" w:themeColor="accent6" w:themeShade="80"/>
        </w:rPr>
        <w:t xml:space="preserve"> análisis de simulaciones para identificar el muestreo mínimo de cumplimiento. </w:t>
      </w:r>
      <w:r>
        <w:rPr>
          <w:color w:val="275317" w:themeColor="accent6" w:themeShade="80"/>
        </w:rPr>
        <w:t xml:space="preserve">Se proporciona </w:t>
      </w:r>
      <w:r w:rsidRPr="00C51FCB">
        <w:rPr>
          <w:color w:val="275317" w:themeColor="accent6" w:themeShade="80"/>
        </w:rPr>
        <w:t>el archivo Excel “TABLA MODELOS LUMÍNICOS”</w:t>
      </w:r>
      <w:r>
        <w:rPr>
          <w:color w:val="275317" w:themeColor="accent6" w:themeShade="80"/>
        </w:rPr>
        <w:t xml:space="preserve"> con la geometría de las secciones de cálculo. Asimismo, Se exige el número de luminaria correspondiente a cada lote.</w:t>
      </w:r>
    </w:p>
    <w:p w14:paraId="0487773B" w14:textId="77777777" w:rsidR="001B1F0A" w:rsidRPr="005E4CD9" w:rsidRDefault="001B1F0A" w:rsidP="001B1F0A">
      <w:pPr>
        <w:pStyle w:val="Prrafodelista"/>
        <w:numPr>
          <w:ilvl w:val="0"/>
          <w:numId w:val="3"/>
        </w:numPr>
        <w:jc w:val="both"/>
        <w:rPr>
          <w:color w:val="275317" w:themeColor="accent6" w:themeShade="80"/>
        </w:rPr>
      </w:pPr>
      <w:r w:rsidRPr="005E4CD9">
        <w:rPr>
          <w:color w:val="275317" w:themeColor="accent6" w:themeShade="80"/>
        </w:rPr>
        <w:t xml:space="preserve">EDE SUR </w:t>
      </w:r>
      <w:r>
        <w:rPr>
          <w:color w:val="275317" w:themeColor="accent6" w:themeShade="80"/>
        </w:rPr>
        <w:t xml:space="preserve">- </w:t>
      </w:r>
      <w:r w:rsidRPr="005E4CD9">
        <w:rPr>
          <w:color w:val="275317" w:themeColor="accent6" w:themeShade="80"/>
        </w:rPr>
        <w:t xml:space="preserve">100 </w:t>
      </w:r>
      <w:r>
        <w:rPr>
          <w:color w:val="275317" w:themeColor="accent6" w:themeShade="80"/>
        </w:rPr>
        <w:t xml:space="preserve">secciones </w:t>
      </w:r>
    </w:p>
    <w:p w14:paraId="5BF5C336" w14:textId="77777777" w:rsidR="001B1F0A" w:rsidRPr="005E4CD9" w:rsidRDefault="001B1F0A" w:rsidP="001B1F0A">
      <w:pPr>
        <w:pStyle w:val="Prrafodelista"/>
        <w:numPr>
          <w:ilvl w:val="0"/>
          <w:numId w:val="3"/>
        </w:numPr>
        <w:jc w:val="both"/>
        <w:rPr>
          <w:color w:val="275317" w:themeColor="accent6" w:themeShade="80"/>
        </w:rPr>
      </w:pPr>
      <w:r>
        <w:rPr>
          <w:color w:val="275317" w:themeColor="accent6" w:themeShade="80"/>
        </w:rPr>
        <w:t>EDE NORTE – 100 secciones</w:t>
      </w:r>
    </w:p>
    <w:p w14:paraId="7E4ED1F8" w14:textId="77777777" w:rsidR="001B1F0A" w:rsidRPr="001B1F0A" w:rsidRDefault="001B1F0A" w:rsidP="001B1F0A">
      <w:pPr>
        <w:pStyle w:val="Prrafodelista"/>
        <w:numPr>
          <w:ilvl w:val="0"/>
          <w:numId w:val="3"/>
        </w:numPr>
        <w:jc w:val="both"/>
        <w:rPr>
          <w:b/>
        </w:rPr>
      </w:pPr>
      <w:r>
        <w:rPr>
          <w:color w:val="275317" w:themeColor="accent6" w:themeShade="80"/>
        </w:rPr>
        <w:t>EDE ESTE - 110 secciones</w:t>
      </w:r>
    </w:p>
    <w:p w14:paraId="09C7BCBC" w14:textId="77777777" w:rsidR="009F626B" w:rsidRPr="009F626B" w:rsidRDefault="009F626B" w:rsidP="00E1521D">
      <w:pPr>
        <w:jc w:val="both"/>
        <w:rPr>
          <w:u w:val="single"/>
        </w:rPr>
      </w:pPr>
    </w:p>
    <w:p w14:paraId="71CA7BF4" w14:textId="77777777" w:rsidR="009F626B" w:rsidRPr="00BA62EE" w:rsidRDefault="009F626B" w:rsidP="00E1521D">
      <w:pPr>
        <w:pStyle w:val="Prrafodelista"/>
        <w:jc w:val="both"/>
        <w:rPr>
          <w:rFonts w:ascii="Cambria" w:hAnsi="Cambria"/>
          <w:b/>
          <w:bCs/>
        </w:rPr>
      </w:pPr>
      <w:r w:rsidRPr="00BA62EE">
        <w:rPr>
          <w:u w:val="single"/>
        </w:rPr>
        <w:tab/>
      </w:r>
      <w:r w:rsidRPr="00BA62EE">
        <w:rPr>
          <w:u w:val="single"/>
        </w:rPr>
        <w:tab/>
      </w:r>
    </w:p>
    <w:p w14:paraId="7F74E7BD" w14:textId="77777777" w:rsidR="009F626B" w:rsidRDefault="009F626B" w:rsidP="00E1521D">
      <w:pPr>
        <w:jc w:val="both"/>
        <w:rPr>
          <w:rFonts w:ascii="Cambria" w:hAnsi="Cambria"/>
          <w:b/>
          <w:bCs/>
        </w:rPr>
      </w:pPr>
    </w:p>
    <w:p w14:paraId="45953346" w14:textId="77777777" w:rsidR="00270DE1" w:rsidRPr="00270DE1" w:rsidRDefault="009F626B" w:rsidP="00E1521D">
      <w:pPr>
        <w:shd w:val="clear" w:color="auto" w:fill="E8E8E8" w:themeFill="background2"/>
        <w:jc w:val="both"/>
        <w:rPr>
          <w:rFonts w:ascii="Cambria" w:hAnsi="Cambria"/>
          <w:b/>
          <w:bCs/>
        </w:rPr>
      </w:pPr>
      <w:r>
        <w:rPr>
          <w:rFonts w:ascii="Cambria" w:hAnsi="Cambria"/>
          <w:b/>
          <w:bCs/>
        </w:rPr>
        <w:t>Consulta No.14</w:t>
      </w:r>
      <w:r w:rsidRPr="00F825D5">
        <w:rPr>
          <w:rFonts w:ascii="Cambria" w:hAnsi="Cambria"/>
          <w:b/>
          <w:bCs/>
        </w:rPr>
        <w:t xml:space="preserve">.- </w:t>
      </w:r>
      <w:r w:rsidR="00270DE1" w:rsidRPr="00270DE1">
        <w:rPr>
          <w:rFonts w:ascii="Cambria" w:hAnsi="Cambria"/>
          <w:b/>
          <w:bCs/>
        </w:rPr>
        <w:t xml:space="preserve">sobre PDGT luminarias con potencia de 30W hasta 240W: Ítem 2.9 línea 38 en Excel: </w:t>
      </w:r>
    </w:p>
    <w:p w14:paraId="07DCEEAF" w14:textId="77777777" w:rsidR="00270DE1" w:rsidRPr="00270DE1" w:rsidRDefault="00270DE1" w:rsidP="00E1521D">
      <w:pPr>
        <w:shd w:val="clear" w:color="auto" w:fill="E8E8E8" w:themeFill="background2"/>
        <w:jc w:val="both"/>
        <w:rPr>
          <w:rFonts w:ascii="Cambria" w:hAnsi="Cambria"/>
          <w:b/>
          <w:bCs/>
        </w:rPr>
      </w:pPr>
      <w:r w:rsidRPr="00270DE1">
        <w:rPr>
          <w:rFonts w:ascii="Cambria" w:hAnsi="Cambria"/>
          <w:b/>
          <w:bCs/>
        </w:rPr>
        <w:t xml:space="preserve">• Dice actualmente: "Rango de inclinación cuerpo - ± 20°". </w:t>
      </w:r>
    </w:p>
    <w:p w14:paraId="4C4B175A" w14:textId="0CD91D71" w:rsidR="00270DE1" w:rsidRPr="00270DE1" w:rsidRDefault="00270DE1" w:rsidP="00E1521D">
      <w:pPr>
        <w:shd w:val="clear" w:color="auto" w:fill="E8E8E8" w:themeFill="background2"/>
        <w:jc w:val="both"/>
        <w:rPr>
          <w:rFonts w:ascii="Cambria" w:hAnsi="Cambria"/>
          <w:b/>
          <w:bCs/>
        </w:rPr>
      </w:pPr>
      <w:r w:rsidRPr="00270DE1">
        <w:rPr>
          <w:rFonts w:ascii="Cambria" w:hAnsi="Cambria"/>
          <w:b/>
          <w:bCs/>
        </w:rPr>
        <w:t xml:space="preserve">• Nuestra Solicitud: Solicitamos amablemente a este honorable Comité evaluar la posibilidad de enmendar este punto a un valor no mayor a ± 5 en conformidad con lo solicitado en los siguientes ítems: </w:t>
      </w:r>
    </w:p>
    <w:p w14:paraId="77CBC5D6" w14:textId="77777777" w:rsidR="00270DE1" w:rsidRPr="00270DE1" w:rsidRDefault="00270DE1" w:rsidP="00E1521D">
      <w:pPr>
        <w:shd w:val="clear" w:color="auto" w:fill="E8E8E8" w:themeFill="background2"/>
        <w:jc w:val="both"/>
        <w:rPr>
          <w:rFonts w:ascii="Cambria" w:hAnsi="Cambria"/>
          <w:b/>
          <w:bCs/>
        </w:rPr>
      </w:pPr>
      <w:r w:rsidRPr="00270DE1">
        <w:rPr>
          <w:rFonts w:ascii="Cambria" w:hAnsi="Cambria"/>
          <w:b/>
          <w:bCs/>
        </w:rPr>
        <w:t xml:space="preserve">PDGT </w:t>
      </w:r>
    </w:p>
    <w:p w14:paraId="5F71A364" w14:textId="77777777" w:rsidR="00270DE1" w:rsidRPr="00270DE1" w:rsidRDefault="00270DE1" w:rsidP="00E1521D">
      <w:pPr>
        <w:shd w:val="clear" w:color="auto" w:fill="E8E8E8" w:themeFill="background2"/>
        <w:jc w:val="both"/>
        <w:rPr>
          <w:rFonts w:ascii="Cambria" w:hAnsi="Cambria"/>
          <w:b/>
          <w:bCs/>
        </w:rPr>
      </w:pPr>
      <w:r w:rsidRPr="00270DE1">
        <w:rPr>
          <w:rFonts w:ascii="Cambria" w:hAnsi="Cambria"/>
          <w:b/>
          <w:bCs/>
        </w:rPr>
        <w:t xml:space="preserve">1.16 Luminaria aprobada </w:t>
      </w:r>
      <w:proofErr w:type="spellStart"/>
      <w:r w:rsidRPr="00270DE1">
        <w:rPr>
          <w:rFonts w:ascii="Cambria" w:hAnsi="Cambria"/>
          <w:b/>
          <w:bCs/>
        </w:rPr>
        <w:t>DarkSky</w:t>
      </w:r>
      <w:proofErr w:type="spellEnd"/>
      <w:r w:rsidRPr="00270DE1">
        <w:rPr>
          <w:rFonts w:ascii="Cambria" w:hAnsi="Cambria"/>
          <w:b/>
          <w:bCs/>
        </w:rPr>
        <w:t xml:space="preserve"> </w:t>
      </w:r>
    </w:p>
    <w:p w14:paraId="26D50125" w14:textId="25962EE3" w:rsidR="009F626B" w:rsidRPr="005D21B6" w:rsidRDefault="00270DE1" w:rsidP="00E1521D">
      <w:pPr>
        <w:shd w:val="clear" w:color="auto" w:fill="E8E8E8" w:themeFill="background2"/>
        <w:jc w:val="both"/>
        <w:rPr>
          <w:rFonts w:ascii="Cambria" w:hAnsi="Cambria"/>
          <w:b/>
          <w:bCs/>
        </w:rPr>
      </w:pPr>
      <w:r w:rsidRPr="00270DE1">
        <w:rPr>
          <w:rFonts w:ascii="Cambria" w:hAnsi="Cambria"/>
          <w:b/>
          <w:bCs/>
        </w:rPr>
        <w:t>2.1 con modificación de valor U=0% a 90 grados</w:t>
      </w:r>
    </w:p>
    <w:p w14:paraId="5B7EF61D" w14:textId="6BB07EF3" w:rsidR="009F626B" w:rsidRDefault="003B276D" w:rsidP="00E1521D">
      <w:pPr>
        <w:shd w:val="clear" w:color="auto" w:fill="E8E8E8" w:themeFill="background2"/>
        <w:jc w:val="both"/>
        <w:rPr>
          <w:rFonts w:ascii="Cambria" w:hAnsi="Cambria"/>
          <w:b/>
          <w:bCs/>
        </w:rPr>
      </w:pPr>
      <w:r w:rsidRPr="003B276D">
        <w:rPr>
          <w:rFonts w:ascii="Cambria" w:hAnsi="Cambria"/>
          <w:b/>
          <w:bCs/>
        </w:rPr>
        <w:t>Pliegos de condiciones AP-LPI-MEM-BID-01-2026 Ítem 13, Sección III: Criterios de Evaluación y Calificación donde se solicitan los siguientes ahorros:</w:t>
      </w:r>
    </w:p>
    <w:p w14:paraId="1E9150D2" w14:textId="65177A70" w:rsidR="009F626B" w:rsidRDefault="00AF485E" w:rsidP="00E1521D">
      <w:pPr>
        <w:shd w:val="clear" w:color="auto" w:fill="E8E8E8" w:themeFill="background2"/>
        <w:jc w:val="both"/>
        <w:rPr>
          <w:rFonts w:ascii="Cambria" w:hAnsi="Cambria"/>
          <w:b/>
          <w:bCs/>
        </w:rPr>
      </w:pPr>
      <w:r w:rsidRPr="00AF485E">
        <w:rPr>
          <w:rFonts w:ascii="Cambria" w:hAnsi="Cambria"/>
          <w:b/>
          <w:bCs/>
          <w:noProof/>
          <w:lang w:val="es-ES" w:eastAsia="es-ES"/>
        </w:rPr>
        <w:drawing>
          <wp:inline distT="0" distB="0" distL="0" distR="0" wp14:anchorId="50C0FD38" wp14:editId="1CA9CB22">
            <wp:extent cx="5400040" cy="1210310"/>
            <wp:effectExtent l="0" t="0" r="0" b="8890"/>
            <wp:docPr id="21218106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10696" name=""/>
                    <pic:cNvPicPr/>
                  </pic:nvPicPr>
                  <pic:blipFill>
                    <a:blip r:embed="rId14"/>
                    <a:stretch>
                      <a:fillRect/>
                    </a:stretch>
                  </pic:blipFill>
                  <pic:spPr>
                    <a:xfrm>
                      <a:off x="0" y="0"/>
                      <a:ext cx="5400040" cy="1210310"/>
                    </a:xfrm>
                    <a:prstGeom prst="rect">
                      <a:avLst/>
                    </a:prstGeom>
                  </pic:spPr>
                </pic:pic>
              </a:graphicData>
            </a:graphic>
          </wp:inline>
        </w:drawing>
      </w:r>
    </w:p>
    <w:p w14:paraId="57DA6B19" w14:textId="77777777" w:rsidR="00244DCC" w:rsidRDefault="00244DCC" w:rsidP="00E1521D">
      <w:pPr>
        <w:shd w:val="clear" w:color="auto" w:fill="E8E8E8" w:themeFill="background2"/>
        <w:jc w:val="both"/>
        <w:rPr>
          <w:rFonts w:ascii="Cambria" w:hAnsi="Cambria"/>
          <w:b/>
          <w:bCs/>
        </w:rPr>
      </w:pPr>
      <w:r w:rsidRPr="00244DCC">
        <w:rPr>
          <w:rFonts w:ascii="Cambria" w:hAnsi="Cambria"/>
          <w:b/>
          <w:bCs/>
        </w:rPr>
        <w:t xml:space="preserve">• Justificación: Este ajuste permitiría a la mayor cantidad de participante presentar soluciones de producto que logren promover el mayor ahorro energético posible utilizando la luz donde es requerida y no colocar la luminaria en ángulo con el resultado de contaminación lumínica y en total disconformidad con los objetivos del ministerio y las características solicitas en los archivos antes mencionados. Es importante que consideren que cualquier solicitud arriba de ± 5 sale de lo normal en el mercado, por lo que puede ser excluyente para muchos competidores internacionales y en detrimento para efecto de la licitación. </w:t>
      </w:r>
    </w:p>
    <w:p w14:paraId="31B190A1" w14:textId="77777777" w:rsidR="009B13DB" w:rsidRDefault="00244DCC" w:rsidP="00E1521D">
      <w:pPr>
        <w:shd w:val="clear" w:color="auto" w:fill="E8E8E8" w:themeFill="background2"/>
        <w:jc w:val="both"/>
        <w:rPr>
          <w:rFonts w:ascii="Cambria" w:hAnsi="Cambria"/>
          <w:b/>
          <w:bCs/>
        </w:rPr>
      </w:pPr>
      <w:r w:rsidRPr="00244DCC">
        <w:rPr>
          <w:rFonts w:ascii="Cambria" w:hAnsi="Cambria"/>
          <w:b/>
          <w:bCs/>
        </w:rPr>
        <w:lastRenderedPageBreak/>
        <w:t xml:space="preserve">• Adicionalmente, reforzamos lo expuesto en la consulta 6: Para que una luminaria sea genuinamente </w:t>
      </w:r>
      <w:proofErr w:type="spellStart"/>
      <w:r w:rsidRPr="00244DCC">
        <w:rPr>
          <w:rFonts w:ascii="Cambria" w:hAnsi="Cambria"/>
          <w:b/>
          <w:bCs/>
        </w:rPr>
        <w:t>DarkSky</w:t>
      </w:r>
      <w:proofErr w:type="spellEnd"/>
      <w:r w:rsidRPr="00244DCC">
        <w:rPr>
          <w:rFonts w:ascii="Cambria" w:hAnsi="Cambria"/>
          <w:b/>
          <w:bCs/>
        </w:rPr>
        <w:t xml:space="preserve">, no basta con cumplir un rango; debe cumplir con la física de la nula emisión de luz hacia arriba. El argumento se resume en tres puntos críticos: </w:t>
      </w:r>
    </w:p>
    <w:p w14:paraId="7669F43B" w14:textId="76518D95" w:rsidR="00244DCC" w:rsidRDefault="00244DCC" w:rsidP="00E1521D">
      <w:pPr>
        <w:shd w:val="clear" w:color="auto" w:fill="E8E8E8" w:themeFill="background2"/>
        <w:jc w:val="both"/>
        <w:rPr>
          <w:rFonts w:ascii="Cambria" w:hAnsi="Cambria"/>
          <w:b/>
          <w:bCs/>
        </w:rPr>
      </w:pPr>
      <w:r w:rsidRPr="00244DCC">
        <w:rPr>
          <w:rFonts w:ascii="Cambria" w:hAnsi="Cambria"/>
          <w:b/>
          <w:bCs/>
        </w:rPr>
        <w:t>• Incompatibilidad del Valor U &gt; 0: El rango 0-5 de la licitación hace referencia a la escala U (</w:t>
      </w:r>
      <w:proofErr w:type="spellStart"/>
      <w:r w:rsidRPr="00244DCC">
        <w:rPr>
          <w:rFonts w:ascii="Cambria" w:hAnsi="Cambria"/>
          <w:b/>
          <w:bCs/>
        </w:rPr>
        <w:t>Uplight</w:t>
      </w:r>
      <w:proofErr w:type="spellEnd"/>
      <w:r w:rsidRPr="00244DCC">
        <w:rPr>
          <w:rFonts w:ascii="Cambria" w:hAnsi="Cambria"/>
          <w:b/>
          <w:bCs/>
        </w:rPr>
        <w:t xml:space="preserve">) del sistema BUG. La certificación </w:t>
      </w:r>
      <w:proofErr w:type="spellStart"/>
      <w:r w:rsidRPr="00244DCC">
        <w:rPr>
          <w:rFonts w:ascii="Cambria" w:hAnsi="Cambria"/>
          <w:b/>
          <w:bCs/>
        </w:rPr>
        <w:t>DarkSky</w:t>
      </w:r>
      <w:proofErr w:type="spellEnd"/>
      <w:r w:rsidRPr="00244DCC">
        <w:rPr>
          <w:rFonts w:ascii="Cambria" w:hAnsi="Cambria"/>
          <w:b/>
          <w:bCs/>
        </w:rPr>
        <w:t xml:space="preserve"> exige estrictamente un valor de U0. Cualquier valor superior (1 a 5) significa que la luminaria emite luz al cielo, lo que invalida técnica y legalmente la certificación solicitada. </w:t>
      </w:r>
    </w:p>
    <w:p w14:paraId="7F1C58AB" w14:textId="77777777" w:rsidR="009B13DB" w:rsidRDefault="00244DCC" w:rsidP="00E1521D">
      <w:pPr>
        <w:shd w:val="clear" w:color="auto" w:fill="E8E8E8" w:themeFill="background2"/>
        <w:jc w:val="both"/>
        <w:rPr>
          <w:rFonts w:ascii="Cambria" w:hAnsi="Cambria"/>
          <w:b/>
          <w:bCs/>
        </w:rPr>
      </w:pPr>
      <w:r w:rsidRPr="00244DCC">
        <w:rPr>
          <w:rFonts w:ascii="Cambria" w:hAnsi="Cambria"/>
          <w:b/>
          <w:bCs/>
        </w:rPr>
        <w:t xml:space="preserve">• El Factor Crítico del "Tilt" (Inclinación): Una luminaria solo es </w:t>
      </w:r>
      <w:proofErr w:type="spellStart"/>
      <w:r w:rsidRPr="00244DCC">
        <w:rPr>
          <w:rFonts w:ascii="Cambria" w:hAnsi="Cambria"/>
          <w:b/>
          <w:bCs/>
        </w:rPr>
        <w:t>DarkSky</w:t>
      </w:r>
      <w:proofErr w:type="spellEnd"/>
      <w:r w:rsidRPr="00244DCC">
        <w:rPr>
          <w:rFonts w:ascii="Cambria" w:hAnsi="Cambria"/>
          <w:b/>
          <w:bCs/>
        </w:rPr>
        <w:t xml:space="preserve"> si se instala a 0° de inclinación. Si el brazo o la luminaria se inclinan (aunque sea 5° o 10°), la óptica se rompe y la luz se dispara hacia el horizonte y el cielo. Por tanto, permitir un rango de 0-5 o permitir inclinación en el montaje anula el propósito ambiental del pliego. </w:t>
      </w:r>
    </w:p>
    <w:p w14:paraId="00DC5E96" w14:textId="040641F0" w:rsidR="009F626B" w:rsidRDefault="00244DCC" w:rsidP="00E1521D">
      <w:pPr>
        <w:shd w:val="clear" w:color="auto" w:fill="E8E8E8" w:themeFill="background2"/>
        <w:jc w:val="both"/>
        <w:rPr>
          <w:rFonts w:ascii="Cambria" w:hAnsi="Cambria"/>
          <w:b/>
          <w:bCs/>
        </w:rPr>
      </w:pPr>
      <w:r w:rsidRPr="00244DCC">
        <w:rPr>
          <w:rFonts w:ascii="Cambria" w:hAnsi="Cambria"/>
          <w:b/>
          <w:bCs/>
        </w:rPr>
        <w:t>• RECOMENDACIÓN: Para mantener la certificación de DARKSKY en este proyecto y no contaminar lumínicamente hacia arriba y cuidando la flora y fauna, se recomienda eliminar el grado de inclinación de la luminaria o TILT de +/-20° y la dispersión hacia el hemisferio superior con rango de 0-5</w:t>
      </w:r>
    </w:p>
    <w:p w14:paraId="198B9A7C" w14:textId="77777777" w:rsidR="00E40306" w:rsidRDefault="00E40306" w:rsidP="00E1521D">
      <w:pPr>
        <w:ind w:left="360"/>
        <w:jc w:val="both"/>
        <w:rPr>
          <w:rFonts w:ascii="Cambria" w:hAnsi="Cambria"/>
          <w:b/>
          <w:bCs/>
        </w:rPr>
      </w:pPr>
    </w:p>
    <w:p w14:paraId="4CEBE8A8" w14:textId="77777777" w:rsidR="00E40306" w:rsidRPr="00F07259" w:rsidRDefault="00E40306" w:rsidP="00E40306">
      <w:pPr>
        <w:jc w:val="both"/>
        <w:rPr>
          <w:rFonts w:ascii="Cambria" w:hAnsi="Cambria"/>
          <w:b/>
          <w:bCs/>
        </w:rPr>
      </w:pPr>
      <w:r w:rsidRPr="00F07259">
        <w:rPr>
          <w:rFonts w:ascii="Cambria" w:hAnsi="Cambria"/>
          <w:b/>
          <w:bCs/>
          <w:highlight w:val="green"/>
        </w:rPr>
        <w:t>Respuesta:</w:t>
      </w:r>
      <w:r w:rsidRPr="00F07259">
        <w:rPr>
          <w:rFonts w:ascii="Cambria" w:hAnsi="Cambria"/>
          <w:b/>
          <w:bCs/>
        </w:rPr>
        <w:t xml:space="preserve"> </w:t>
      </w:r>
    </w:p>
    <w:p w14:paraId="1149449C" w14:textId="77777777" w:rsidR="00E40306" w:rsidRDefault="00E40306" w:rsidP="00E40306">
      <w:pPr>
        <w:jc w:val="both"/>
        <w:rPr>
          <w:u w:val="single"/>
        </w:rPr>
      </w:pPr>
      <w:r w:rsidRPr="001B425B">
        <w:rPr>
          <w:rFonts w:ascii="Cambria" w:hAnsi="Cambria"/>
          <w:color w:val="275317" w:themeColor="accent6" w:themeShade="80"/>
        </w:rPr>
        <w:t>No se considera</w:t>
      </w:r>
      <w:r>
        <w:rPr>
          <w:rFonts w:ascii="Cambria" w:hAnsi="Cambria"/>
          <w:color w:val="275317" w:themeColor="accent6" w:themeShade="80"/>
        </w:rPr>
        <w:t>rá</w:t>
      </w:r>
      <w:r w:rsidRPr="001B425B">
        <w:rPr>
          <w:rFonts w:ascii="Cambria" w:hAnsi="Cambria"/>
          <w:color w:val="275317" w:themeColor="accent6" w:themeShade="80"/>
        </w:rPr>
        <w:t xml:space="preserve"> la certificación </w:t>
      </w:r>
      <w:proofErr w:type="spellStart"/>
      <w:r w:rsidRPr="001B425B">
        <w:rPr>
          <w:rFonts w:ascii="Cambria" w:hAnsi="Cambria"/>
          <w:color w:val="275317" w:themeColor="accent6" w:themeShade="80"/>
        </w:rPr>
        <w:t>DarkSky</w:t>
      </w:r>
      <w:proofErr w:type="spellEnd"/>
      <w:r w:rsidRPr="001B425B">
        <w:rPr>
          <w:rFonts w:ascii="Cambria" w:hAnsi="Cambria"/>
          <w:color w:val="275317" w:themeColor="accent6" w:themeShade="80"/>
        </w:rPr>
        <w:t xml:space="preserve"> como requisito del producto.</w:t>
      </w:r>
      <w:r>
        <w:rPr>
          <w:rFonts w:ascii="Cambria" w:hAnsi="Cambria"/>
          <w:color w:val="275317" w:themeColor="accent6" w:themeShade="80"/>
        </w:rPr>
        <w:t xml:space="preserve"> </w:t>
      </w:r>
    </w:p>
    <w:p w14:paraId="4D0D35AA" w14:textId="77777777" w:rsidR="00D766A5" w:rsidRPr="009F626B" w:rsidRDefault="00D766A5" w:rsidP="00E1521D">
      <w:pPr>
        <w:jc w:val="both"/>
        <w:rPr>
          <w:u w:val="single"/>
        </w:rPr>
      </w:pPr>
    </w:p>
    <w:p w14:paraId="0ED0A469" w14:textId="77777777" w:rsidR="00D766A5" w:rsidRPr="009F626B" w:rsidRDefault="00D766A5" w:rsidP="00E1521D">
      <w:pPr>
        <w:jc w:val="both"/>
        <w:rPr>
          <w:u w:val="single"/>
        </w:rPr>
      </w:pPr>
    </w:p>
    <w:p w14:paraId="754007F7" w14:textId="77777777" w:rsidR="00D766A5" w:rsidRPr="00BA62EE" w:rsidRDefault="00D766A5" w:rsidP="00E1521D">
      <w:pPr>
        <w:pStyle w:val="Prrafodelista"/>
        <w:jc w:val="both"/>
        <w:rPr>
          <w:rFonts w:ascii="Cambria" w:hAnsi="Cambria"/>
          <w:b/>
          <w:bCs/>
        </w:rPr>
      </w:pPr>
      <w:r w:rsidRPr="00BA62EE">
        <w:rPr>
          <w:u w:val="single"/>
        </w:rPr>
        <w:tab/>
      </w:r>
      <w:r w:rsidRPr="00BA62EE">
        <w:rPr>
          <w:u w:val="single"/>
        </w:rPr>
        <w:tab/>
      </w:r>
    </w:p>
    <w:p w14:paraId="79327851" w14:textId="2DCAB8BA" w:rsidR="00F97956" w:rsidRPr="00F97956" w:rsidRDefault="00732831" w:rsidP="00E1521D">
      <w:pPr>
        <w:shd w:val="clear" w:color="auto" w:fill="E8E8E8" w:themeFill="background2"/>
        <w:jc w:val="both"/>
        <w:rPr>
          <w:rFonts w:ascii="Cambria" w:hAnsi="Cambria"/>
          <w:b/>
          <w:bCs/>
        </w:rPr>
      </w:pPr>
      <w:r>
        <w:rPr>
          <w:rFonts w:ascii="Cambria" w:hAnsi="Cambria"/>
          <w:b/>
          <w:bCs/>
        </w:rPr>
        <w:t>Consulta No.15</w:t>
      </w:r>
      <w:r w:rsidRPr="00F825D5">
        <w:rPr>
          <w:rFonts w:ascii="Cambria" w:hAnsi="Cambria"/>
          <w:b/>
          <w:bCs/>
        </w:rPr>
        <w:t xml:space="preserve">.- </w:t>
      </w:r>
      <w:r w:rsidR="00F97956" w:rsidRPr="00F97956">
        <w:rPr>
          <w:rFonts w:ascii="Cambria" w:hAnsi="Cambria"/>
          <w:b/>
          <w:bCs/>
        </w:rPr>
        <w:t>¿Es obligatorio que las 250.000 luminarias correspondan a un único proyecto, o es admisible acreditar dicha experiencia mediante varios proyectos de naturaleza comparable, siempre que estén debidamente certificados y, de forma acumulada, alcancen el umbral mínimo indicado?</w:t>
      </w:r>
    </w:p>
    <w:p w14:paraId="203EB1E4" w14:textId="77777777" w:rsidR="00F97956" w:rsidRPr="00F97956" w:rsidRDefault="00F97956" w:rsidP="00E1521D">
      <w:pPr>
        <w:shd w:val="clear" w:color="auto" w:fill="E8E8E8" w:themeFill="background2"/>
        <w:jc w:val="both"/>
        <w:rPr>
          <w:rFonts w:ascii="Cambria" w:hAnsi="Cambria"/>
          <w:b/>
          <w:bCs/>
        </w:rPr>
      </w:pPr>
      <w:r w:rsidRPr="00F97956">
        <w:rPr>
          <w:rFonts w:ascii="Cambria" w:hAnsi="Cambria"/>
          <w:b/>
          <w:bCs/>
        </w:rPr>
        <w:t>Entendemos que la experiencia debe acreditarse como contratista principal. Les agradeceríamos confirmación de si este requisito implica necesariamente haber sido responsable de la ejecución integral del proyecto (suministro e instalación de las luminarias), y si la experiencia adquirida exclusivamente en calidad de subcontratista no sería válida a estos efectos.</w:t>
      </w:r>
    </w:p>
    <w:p w14:paraId="203B320D" w14:textId="77777777" w:rsidR="00F97956" w:rsidRDefault="00F97956" w:rsidP="00E1521D">
      <w:pPr>
        <w:shd w:val="clear" w:color="auto" w:fill="FFFFFF" w:themeFill="background1"/>
        <w:jc w:val="both"/>
        <w:rPr>
          <w:rFonts w:ascii="Cambria" w:hAnsi="Cambria"/>
          <w:b/>
          <w:bCs/>
        </w:rPr>
      </w:pPr>
    </w:p>
    <w:p w14:paraId="34141F9A" w14:textId="3392139F" w:rsidR="005E4CD9" w:rsidRPr="000D1C81" w:rsidRDefault="00557EED" w:rsidP="00E40306">
      <w:pPr>
        <w:jc w:val="both"/>
        <w:rPr>
          <w:rFonts w:ascii="Cambria" w:hAnsi="Cambria"/>
          <w:b/>
          <w:bCs/>
          <w:highlight w:val="green"/>
        </w:rPr>
      </w:pPr>
      <w:r w:rsidRPr="000D1C81">
        <w:rPr>
          <w:rFonts w:ascii="Cambria" w:hAnsi="Cambria"/>
          <w:b/>
          <w:bCs/>
          <w:highlight w:val="green"/>
        </w:rPr>
        <w:t xml:space="preserve">Respuesta: </w:t>
      </w:r>
    </w:p>
    <w:p w14:paraId="1C713E77" w14:textId="502CF545" w:rsidR="005E4CD9" w:rsidRPr="00EF71BC" w:rsidRDefault="005E4CD9" w:rsidP="00E1521D">
      <w:pPr>
        <w:jc w:val="both"/>
        <w:rPr>
          <w:rFonts w:ascii="Cambria" w:hAnsi="Cambria"/>
          <w:color w:val="275317" w:themeColor="accent6" w:themeShade="80"/>
        </w:rPr>
      </w:pPr>
      <w:r>
        <w:rPr>
          <w:rFonts w:ascii="Cambria" w:hAnsi="Cambria"/>
          <w:color w:val="275317" w:themeColor="accent6" w:themeShade="80"/>
        </w:rPr>
        <w:t>Se exige el número de luminaria correspondiente a cada lote. Con independencia de esto, consideramos que sí se pueden considerar diferentes proyectos en ubicaciones distintas.</w:t>
      </w:r>
    </w:p>
    <w:p w14:paraId="6486A2A0" w14:textId="046D2A3B" w:rsidR="00557EED" w:rsidRPr="00EF71BC" w:rsidRDefault="00EF71BC" w:rsidP="00E1521D">
      <w:pPr>
        <w:jc w:val="both"/>
        <w:rPr>
          <w:rFonts w:ascii="Cambria" w:hAnsi="Cambria"/>
          <w:color w:val="275317" w:themeColor="accent6" w:themeShade="80"/>
        </w:rPr>
      </w:pPr>
      <w:r w:rsidRPr="00EF71BC">
        <w:rPr>
          <w:rFonts w:ascii="Cambria" w:hAnsi="Cambria"/>
          <w:color w:val="275317" w:themeColor="accent6" w:themeShade="80"/>
        </w:rPr>
        <w:t>Con respecto a la experiencia, se deberá certificar el haber realizado trabajo de suministro e instalación de luminarias.</w:t>
      </w:r>
    </w:p>
    <w:p w14:paraId="0969CC80" w14:textId="77777777" w:rsidR="00557EED" w:rsidRPr="00F97956" w:rsidRDefault="00557EED" w:rsidP="00E1521D">
      <w:pPr>
        <w:shd w:val="clear" w:color="auto" w:fill="FFFFFF" w:themeFill="background1"/>
        <w:jc w:val="both"/>
        <w:rPr>
          <w:rFonts w:ascii="Cambria" w:hAnsi="Cambria"/>
          <w:b/>
          <w:bCs/>
        </w:rPr>
      </w:pPr>
    </w:p>
    <w:p w14:paraId="33483660" w14:textId="33137070" w:rsidR="00F97956" w:rsidRPr="00F97956" w:rsidRDefault="00557EED" w:rsidP="00E1521D">
      <w:pPr>
        <w:shd w:val="clear" w:color="auto" w:fill="E8E8E8" w:themeFill="background2"/>
        <w:jc w:val="both"/>
        <w:rPr>
          <w:rFonts w:ascii="Cambria" w:hAnsi="Cambria"/>
          <w:b/>
          <w:bCs/>
        </w:rPr>
      </w:pPr>
      <w:r>
        <w:rPr>
          <w:rFonts w:ascii="Cambria" w:hAnsi="Cambria"/>
          <w:b/>
          <w:bCs/>
        </w:rPr>
        <w:t>Consulta No.16.-</w:t>
      </w:r>
      <w:r w:rsidR="00F97956" w:rsidRPr="00F97956">
        <w:rPr>
          <w:rFonts w:ascii="Cambria" w:hAnsi="Cambria"/>
          <w:b/>
          <w:bCs/>
        </w:rPr>
        <w:t>En el supuesto de presentarnos en consorcio con un fabricante de luminarias:</w:t>
      </w:r>
      <w:r>
        <w:rPr>
          <w:rFonts w:ascii="Cambria" w:hAnsi="Cambria"/>
          <w:b/>
          <w:bCs/>
        </w:rPr>
        <w:t xml:space="preserve"> </w:t>
      </w:r>
      <w:r w:rsidR="00F97956" w:rsidRPr="00F97956">
        <w:rPr>
          <w:rFonts w:ascii="Cambria" w:hAnsi="Cambria"/>
          <w:b/>
          <w:bCs/>
        </w:rPr>
        <w:t>¿Sería suficiente acreditar certificados del fabricante relativos al suministro de 250.000 luminarias?</w:t>
      </w:r>
    </w:p>
    <w:p w14:paraId="4B071D24" w14:textId="745AC2BC" w:rsidR="00244DCC" w:rsidRDefault="00F97956" w:rsidP="00E1521D">
      <w:pPr>
        <w:shd w:val="clear" w:color="auto" w:fill="E8E8E8" w:themeFill="background2"/>
        <w:jc w:val="both"/>
        <w:rPr>
          <w:rFonts w:ascii="Cambria" w:hAnsi="Cambria"/>
          <w:b/>
          <w:bCs/>
        </w:rPr>
      </w:pPr>
      <w:r w:rsidRPr="00F97956">
        <w:rPr>
          <w:rFonts w:ascii="Cambria" w:hAnsi="Cambria"/>
          <w:b/>
          <w:bCs/>
        </w:rPr>
        <w:t>¿O es obligatorio que al menos uno de los integrantes del consorcio haya ejecutado proyectos similares al objeto de la licitación, actuando como contratista principal responsable tanto del suministro como de la instalación de las luminarias?</w:t>
      </w:r>
    </w:p>
    <w:p w14:paraId="5A4AF75B" w14:textId="77777777" w:rsidR="00DE0907" w:rsidRDefault="00DE0907" w:rsidP="00DE0907">
      <w:pPr>
        <w:jc w:val="both"/>
        <w:rPr>
          <w:rFonts w:ascii="Cambria" w:hAnsi="Cambria"/>
          <w:b/>
          <w:bCs/>
        </w:rPr>
      </w:pPr>
    </w:p>
    <w:p w14:paraId="0873F14D" w14:textId="3CCB3206" w:rsidR="00557EED" w:rsidRPr="009F626B" w:rsidRDefault="00557EED" w:rsidP="00DE0907">
      <w:pPr>
        <w:jc w:val="both"/>
        <w:rPr>
          <w:rFonts w:ascii="Cambria" w:hAnsi="Cambria"/>
          <w:i/>
          <w:iCs/>
        </w:rPr>
      </w:pPr>
      <w:r w:rsidRPr="009F626B">
        <w:rPr>
          <w:rFonts w:ascii="Cambria" w:hAnsi="Cambria"/>
          <w:b/>
          <w:bCs/>
        </w:rPr>
        <w:t>Respuesta</w:t>
      </w:r>
      <w:r w:rsidRPr="009F626B">
        <w:rPr>
          <w:rFonts w:ascii="Cambria" w:hAnsi="Cambria"/>
        </w:rPr>
        <w:t xml:space="preserve">: </w:t>
      </w:r>
    </w:p>
    <w:p w14:paraId="33230F77" w14:textId="3A876102" w:rsidR="0049648A" w:rsidRDefault="0049648A" w:rsidP="00E1521D">
      <w:pPr>
        <w:jc w:val="both"/>
        <w:rPr>
          <w:u w:val="single"/>
        </w:rPr>
      </w:pPr>
      <w:r>
        <w:rPr>
          <w:rFonts w:ascii="Cambria" w:hAnsi="Cambria"/>
          <w:color w:val="275317" w:themeColor="accent6" w:themeShade="80"/>
        </w:rPr>
        <w:t>Es</w:t>
      </w:r>
      <w:r w:rsidR="00596090">
        <w:rPr>
          <w:rFonts w:ascii="Cambria" w:hAnsi="Cambria"/>
          <w:color w:val="275317" w:themeColor="accent6" w:themeShade="80"/>
        </w:rPr>
        <w:t xml:space="preserve"> obligatorio que al menos uno d</w:t>
      </w:r>
      <w:r>
        <w:rPr>
          <w:rFonts w:ascii="Cambria" w:hAnsi="Cambria"/>
          <w:color w:val="275317" w:themeColor="accent6" w:themeShade="80"/>
        </w:rPr>
        <w:t>e</w:t>
      </w:r>
      <w:r w:rsidR="00596090">
        <w:rPr>
          <w:rFonts w:ascii="Cambria" w:hAnsi="Cambria"/>
          <w:color w:val="275317" w:themeColor="accent6" w:themeShade="80"/>
        </w:rPr>
        <w:t xml:space="preserve"> </w:t>
      </w:r>
      <w:r>
        <w:rPr>
          <w:rFonts w:ascii="Cambria" w:hAnsi="Cambria"/>
          <w:color w:val="275317" w:themeColor="accent6" w:themeShade="80"/>
        </w:rPr>
        <w:t>lo</w:t>
      </w:r>
      <w:r w:rsidR="00596090">
        <w:rPr>
          <w:rFonts w:ascii="Cambria" w:hAnsi="Cambria"/>
          <w:color w:val="275317" w:themeColor="accent6" w:themeShade="80"/>
        </w:rPr>
        <w:t>s</w:t>
      </w:r>
      <w:r>
        <w:rPr>
          <w:rFonts w:ascii="Cambria" w:hAnsi="Cambria"/>
          <w:color w:val="275317" w:themeColor="accent6" w:themeShade="80"/>
        </w:rPr>
        <w:t xml:space="preserve"> integrante</w:t>
      </w:r>
      <w:r w:rsidR="00596090">
        <w:rPr>
          <w:rFonts w:ascii="Cambria" w:hAnsi="Cambria"/>
          <w:color w:val="275317" w:themeColor="accent6" w:themeShade="80"/>
        </w:rPr>
        <w:t>s</w:t>
      </w:r>
      <w:r>
        <w:rPr>
          <w:rFonts w:ascii="Cambria" w:hAnsi="Cambria"/>
          <w:color w:val="275317" w:themeColor="accent6" w:themeShade="80"/>
        </w:rPr>
        <w:t xml:space="preserve"> cumpla con la solvencia técnica establecida en los pliegos.</w:t>
      </w:r>
    </w:p>
    <w:p w14:paraId="0C1450BC" w14:textId="77777777" w:rsidR="00557EED" w:rsidRPr="009F626B" w:rsidRDefault="00557EED" w:rsidP="00E1521D">
      <w:pPr>
        <w:jc w:val="both"/>
        <w:rPr>
          <w:u w:val="single"/>
        </w:rPr>
      </w:pPr>
    </w:p>
    <w:p w14:paraId="0269F386" w14:textId="77777777" w:rsidR="00557EED" w:rsidRPr="00BA62EE" w:rsidRDefault="00557EED" w:rsidP="00E1521D">
      <w:pPr>
        <w:pStyle w:val="Prrafodelista"/>
        <w:jc w:val="both"/>
        <w:rPr>
          <w:rFonts w:ascii="Cambria" w:hAnsi="Cambria"/>
          <w:b/>
          <w:bCs/>
        </w:rPr>
      </w:pPr>
      <w:r w:rsidRPr="00BA62EE">
        <w:rPr>
          <w:u w:val="single"/>
        </w:rPr>
        <w:tab/>
      </w:r>
      <w:r w:rsidRPr="00BA62EE">
        <w:rPr>
          <w:u w:val="single"/>
        </w:rPr>
        <w:tab/>
      </w:r>
    </w:p>
    <w:p w14:paraId="75A5DA2C" w14:textId="064EE7AE" w:rsidR="005125E5" w:rsidRDefault="005125E5" w:rsidP="00E1521D">
      <w:pPr>
        <w:shd w:val="clear" w:color="auto" w:fill="E8E8E8" w:themeFill="background2"/>
        <w:jc w:val="both"/>
        <w:rPr>
          <w:rFonts w:ascii="Cambria" w:hAnsi="Cambria"/>
          <w:b/>
          <w:bCs/>
        </w:rPr>
      </w:pPr>
      <w:r>
        <w:rPr>
          <w:rFonts w:ascii="Cambria" w:hAnsi="Cambria"/>
          <w:b/>
          <w:bCs/>
        </w:rPr>
        <w:t>Consulta No.17.-</w:t>
      </w:r>
      <w:r w:rsidR="001515D8" w:rsidRPr="001515D8">
        <w:t xml:space="preserve"> </w:t>
      </w:r>
      <w:r w:rsidR="001515D8" w:rsidRPr="001515D8">
        <w:rPr>
          <w:rFonts w:ascii="Cambria" w:hAnsi="Cambria"/>
          <w:b/>
          <w:bCs/>
        </w:rPr>
        <w:t>Observamos que en el apartado 2.4 del requisito de calificación IAL39, se establece que la experiencia del licitador debe incluir una instalación acumulada de más de 250.000 lámparas, una cantidad muy superior a la suma total de lámparas en los tres lotes actuales. Establecer un límite de 250.000 unidades limitará significativamente la participación de los licitadores y dificultará la presentación de la solución óptima. Esperamos que usted reevalúe la racionalidad de este requisito. </w:t>
      </w:r>
    </w:p>
    <w:p w14:paraId="7E672F1F" w14:textId="5E8D1A9C" w:rsidR="00457E4F" w:rsidRPr="00457E4F" w:rsidRDefault="00457E4F" w:rsidP="00E1521D">
      <w:pPr>
        <w:shd w:val="clear" w:color="auto" w:fill="E8E8E8" w:themeFill="background2"/>
        <w:jc w:val="both"/>
        <w:rPr>
          <w:rFonts w:ascii="Cambria" w:hAnsi="Cambria"/>
          <w:b/>
          <w:bCs/>
        </w:rPr>
      </w:pPr>
      <w:r>
        <w:rPr>
          <w:rFonts w:ascii="Cambria" w:hAnsi="Cambria"/>
          <w:b/>
          <w:bCs/>
        </w:rPr>
        <w:t>D</w:t>
      </w:r>
      <w:r w:rsidRPr="00457E4F">
        <w:rPr>
          <w:rFonts w:ascii="Cambria" w:hAnsi="Cambria"/>
          <w:b/>
          <w:bCs/>
        </w:rPr>
        <w:t>eseamos aclarar el requisito de que el licitador cuente con experiencia en la instalación de 250 000 unidades de alumbrado público. El proyecto consta de 3 lotes, y la cantidad total de unidades en cada lote es inferior a 75 000. Resulta irrazonable establecer este requisito en 250 000 unidades si el licitador tiene la intención de participar en un solo lote. Agradeceríamos que reevaluaran este requisito y abrieran más oportunidades para que otras empresas participen en esta licitación.</w:t>
      </w:r>
    </w:p>
    <w:p w14:paraId="529B1F76" w14:textId="77777777" w:rsidR="00DE0907" w:rsidRDefault="00DE0907" w:rsidP="00DE0907">
      <w:pPr>
        <w:jc w:val="both"/>
        <w:rPr>
          <w:rFonts w:ascii="Cambria" w:hAnsi="Cambria"/>
          <w:b/>
          <w:bCs/>
          <w:highlight w:val="green"/>
        </w:rPr>
      </w:pPr>
    </w:p>
    <w:p w14:paraId="3A984B80" w14:textId="09A679CB" w:rsidR="0010785D" w:rsidRPr="00DE0907" w:rsidRDefault="0010785D" w:rsidP="00DE0907">
      <w:pPr>
        <w:jc w:val="both"/>
        <w:rPr>
          <w:rFonts w:ascii="Cambria" w:hAnsi="Cambria"/>
          <w:b/>
          <w:bCs/>
          <w:highlight w:val="green"/>
        </w:rPr>
      </w:pPr>
      <w:r w:rsidRPr="00DE0907">
        <w:rPr>
          <w:rFonts w:ascii="Cambria" w:hAnsi="Cambria"/>
          <w:b/>
          <w:bCs/>
          <w:highlight w:val="green"/>
        </w:rPr>
        <w:t xml:space="preserve">Respuesta: </w:t>
      </w:r>
    </w:p>
    <w:p w14:paraId="34516046" w14:textId="023DDE12" w:rsidR="0010785D" w:rsidRPr="009F626B" w:rsidRDefault="00EF71BC" w:rsidP="00EF71BC">
      <w:pPr>
        <w:jc w:val="both"/>
        <w:rPr>
          <w:u w:val="single"/>
        </w:rPr>
      </w:pPr>
      <w:r>
        <w:rPr>
          <w:rFonts w:ascii="Cambria" w:hAnsi="Cambria"/>
          <w:color w:val="275317" w:themeColor="accent6" w:themeShade="80"/>
        </w:rPr>
        <w:t>Se exige el número de luminaria correspondiente a cada lote.</w:t>
      </w:r>
    </w:p>
    <w:p w14:paraId="30E71DB8" w14:textId="77777777" w:rsidR="0010785D" w:rsidRPr="009F626B" w:rsidRDefault="0010785D" w:rsidP="00E1521D">
      <w:pPr>
        <w:jc w:val="both"/>
        <w:rPr>
          <w:u w:val="single"/>
        </w:rPr>
      </w:pPr>
    </w:p>
    <w:p w14:paraId="70120A6A" w14:textId="77777777" w:rsidR="00244DCC" w:rsidRDefault="00244DCC" w:rsidP="00E1521D">
      <w:pPr>
        <w:jc w:val="both"/>
        <w:rPr>
          <w:rFonts w:ascii="Cambria" w:hAnsi="Cambria"/>
          <w:b/>
          <w:bCs/>
        </w:rPr>
      </w:pPr>
    </w:p>
    <w:p w14:paraId="4BF80692" w14:textId="52B1F25C" w:rsidR="00730154" w:rsidRPr="00730154" w:rsidRDefault="0010785D" w:rsidP="00E1521D">
      <w:pPr>
        <w:shd w:val="clear" w:color="auto" w:fill="E8E8E8" w:themeFill="background2"/>
        <w:jc w:val="both"/>
        <w:rPr>
          <w:rFonts w:ascii="Cambria" w:hAnsi="Cambria"/>
          <w:b/>
          <w:bCs/>
        </w:rPr>
      </w:pPr>
      <w:r>
        <w:rPr>
          <w:rFonts w:ascii="Cambria" w:hAnsi="Cambria"/>
          <w:b/>
          <w:bCs/>
        </w:rPr>
        <w:t>Consulta No.18.-</w:t>
      </w:r>
      <w:r w:rsidRPr="001515D8">
        <w:t xml:space="preserve"> </w:t>
      </w:r>
      <w:r w:rsidR="00730154" w:rsidRPr="00730154">
        <w:rPr>
          <w:rFonts w:ascii="Cambria" w:hAnsi="Cambria"/>
          <w:b/>
          <w:bCs/>
        </w:rPr>
        <w:t>Plazo insuficiente para la preparación de las ofertas</w:t>
      </w:r>
      <w:r w:rsidR="00730154">
        <w:rPr>
          <w:rFonts w:ascii="Cambria" w:hAnsi="Cambria"/>
          <w:b/>
          <w:bCs/>
        </w:rPr>
        <w:t xml:space="preserve">. </w:t>
      </w:r>
      <w:r w:rsidR="00730154" w:rsidRPr="00730154">
        <w:rPr>
          <w:rFonts w:ascii="Cambria" w:hAnsi="Cambria"/>
          <w:b/>
          <w:bCs/>
        </w:rPr>
        <w:t>Consideramos que el plazo otorgado para la preparación y presentación de las ofertas resulta insuficiente, teniendo en cuenta:</w:t>
      </w:r>
    </w:p>
    <w:p w14:paraId="5A67B359" w14:textId="77777777" w:rsidR="00730154" w:rsidRPr="00730154" w:rsidRDefault="00730154" w:rsidP="00E1521D">
      <w:pPr>
        <w:shd w:val="clear" w:color="auto" w:fill="E8E8E8" w:themeFill="background2"/>
        <w:jc w:val="both"/>
        <w:rPr>
          <w:rFonts w:ascii="Cambria" w:hAnsi="Cambria"/>
          <w:b/>
          <w:bCs/>
        </w:rPr>
      </w:pPr>
      <w:r w:rsidRPr="00730154">
        <w:rPr>
          <w:rFonts w:ascii="Cambria" w:hAnsi="Cambria"/>
          <w:b/>
          <w:bCs/>
        </w:rPr>
        <w:t>La complejidad técnica del proyecto y el elevado volumen de documentación exigida en el pliego.</w:t>
      </w:r>
    </w:p>
    <w:p w14:paraId="57584E2C" w14:textId="77777777" w:rsidR="00730154" w:rsidRPr="00730154" w:rsidRDefault="00730154" w:rsidP="00E1521D">
      <w:pPr>
        <w:shd w:val="clear" w:color="auto" w:fill="E8E8E8" w:themeFill="background2"/>
        <w:jc w:val="both"/>
        <w:rPr>
          <w:rFonts w:ascii="Cambria" w:hAnsi="Cambria"/>
          <w:b/>
          <w:bCs/>
        </w:rPr>
      </w:pPr>
      <w:r w:rsidRPr="00730154">
        <w:rPr>
          <w:rFonts w:ascii="Cambria" w:hAnsi="Cambria"/>
          <w:b/>
          <w:bCs/>
        </w:rPr>
        <w:t>La necesidad de preparar información técnica, financiera, administrativa, certificaciones y avales conforme a los estándares del BID.</w:t>
      </w:r>
    </w:p>
    <w:p w14:paraId="71BBDCF3" w14:textId="77777777" w:rsidR="00730154" w:rsidRPr="00730154" w:rsidRDefault="00730154" w:rsidP="00E1521D">
      <w:pPr>
        <w:shd w:val="clear" w:color="auto" w:fill="E8E8E8" w:themeFill="background2"/>
        <w:jc w:val="both"/>
        <w:rPr>
          <w:rFonts w:ascii="Cambria" w:hAnsi="Cambria"/>
          <w:b/>
          <w:bCs/>
        </w:rPr>
      </w:pPr>
      <w:r w:rsidRPr="00730154">
        <w:rPr>
          <w:rFonts w:ascii="Cambria" w:hAnsi="Cambria"/>
          <w:b/>
          <w:bCs/>
        </w:rPr>
        <w:t>En el caso de presentaciones en consorcio, la participación de empresas internacionales que deben recabar, legalizar y, en su caso, traducir documentación, conforme a la normativa aplicable.</w:t>
      </w:r>
    </w:p>
    <w:p w14:paraId="4F1856DB" w14:textId="77777777" w:rsidR="00730154" w:rsidRPr="00730154" w:rsidRDefault="00730154" w:rsidP="00E1521D">
      <w:pPr>
        <w:shd w:val="clear" w:color="auto" w:fill="E8E8E8" w:themeFill="background2"/>
        <w:jc w:val="both"/>
        <w:rPr>
          <w:rFonts w:ascii="Cambria" w:hAnsi="Cambria"/>
          <w:b/>
          <w:bCs/>
        </w:rPr>
      </w:pPr>
      <w:r w:rsidRPr="00730154">
        <w:rPr>
          <w:rFonts w:ascii="Cambria" w:hAnsi="Cambria"/>
          <w:b/>
          <w:bCs/>
        </w:rPr>
        <w:t>Adicionalmente, el proceso se ha convocado durante el periodo de Semana Santa, lo que reduce significativamente el número de días hábiles efectivos disponibles, impactando negativamente en la capacidad de los licitantes para preparar propuestas sólidas, completas y competitivas.</w:t>
      </w:r>
    </w:p>
    <w:p w14:paraId="1B9D7D81" w14:textId="77777777" w:rsidR="00FF1420" w:rsidRDefault="00FF1420" w:rsidP="00FF1420">
      <w:pPr>
        <w:jc w:val="both"/>
        <w:rPr>
          <w:rFonts w:ascii="Cambria" w:hAnsi="Cambria"/>
          <w:b/>
          <w:bCs/>
        </w:rPr>
      </w:pPr>
    </w:p>
    <w:p w14:paraId="277F5EB9" w14:textId="10BF72A2" w:rsidR="00014504" w:rsidRPr="00FF1420" w:rsidRDefault="00014504" w:rsidP="00FF1420">
      <w:pPr>
        <w:jc w:val="both"/>
        <w:rPr>
          <w:rFonts w:ascii="Cambria" w:hAnsi="Cambria"/>
          <w:b/>
          <w:bCs/>
          <w:highlight w:val="green"/>
        </w:rPr>
      </w:pPr>
      <w:r w:rsidRPr="00FF1420">
        <w:rPr>
          <w:rFonts w:ascii="Cambria" w:hAnsi="Cambria"/>
          <w:b/>
          <w:bCs/>
          <w:highlight w:val="green"/>
        </w:rPr>
        <w:t xml:space="preserve">Respuesta: </w:t>
      </w:r>
    </w:p>
    <w:p w14:paraId="5C619B4C" w14:textId="31B917A9" w:rsidR="00014504" w:rsidRPr="009F626B" w:rsidRDefault="00596090" w:rsidP="00E1521D">
      <w:pPr>
        <w:jc w:val="both"/>
        <w:rPr>
          <w:u w:val="single"/>
        </w:rPr>
      </w:pPr>
      <w:r w:rsidRPr="00FF1420">
        <w:rPr>
          <w:rFonts w:ascii="Cambria" w:hAnsi="Cambria"/>
          <w:color w:val="275317" w:themeColor="accent6" w:themeShade="80"/>
          <w:highlight w:val="red"/>
        </w:rPr>
        <w:t xml:space="preserve">Valorar la posibilidad de ampliar el plazo de entrega de las </w:t>
      </w:r>
      <w:r w:rsidR="00FF1420" w:rsidRPr="00FF1420">
        <w:rPr>
          <w:rFonts w:ascii="Cambria" w:hAnsi="Cambria"/>
          <w:color w:val="275317" w:themeColor="accent6" w:themeShade="80"/>
          <w:highlight w:val="red"/>
        </w:rPr>
        <w:t>ofertas</w:t>
      </w:r>
      <w:r w:rsidR="00FF1420">
        <w:rPr>
          <w:rFonts w:ascii="Cambria" w:hAnsi="Cambria"/>
          <w:color w:val="275317" w:themeColor="accent6" w:themeShade="80"/>
          <w:highlight w:val="red"/>
        </w:rPr>
        <w:t xml:space="preserve"> (tratar con el coordinador general)</w:t>
      </w:r>
      <w:r w:rsidRPr="00FF1420">
        <w:rPr>
          <w:rFonts w:ascii="Cambria" w:hAnsi="Cambria"/>
          <w:color w:val="275317" w:themeColor="accent6" w:themeShade="80"/>
          <w:highlight w:val="red"/>
        </w:rPr>
        <w:t>.</w:t>
      </w:r>
      <w:r w:rsidR="002B73B4">
        <w:rPr>
          <w:rFonts w:ascii="Cambria" w:hAnsi="Cambria"/>
          <w:color w:val="275317" w:themeColor="accent6" w:themeShade="80"/>
        </w:rPr>
        <w:t xml:space="preserve"> </w:t>
      </w:r>
    </w:p>
    <w:p w14:paraId="278FA660" w14:textId="77777777" w:rsidR="00014504" w:rsidRPr="009F626B" w:rsidRDefault="00014504" w:rsidP="00E1521D">
      <w:pPr>
        <w:jc w:val="both"/>
        <w:rPr>
          <w:u w:val="single"/>
        </w:rPr>
      </w:pPr>
    </w:p>
    <w:p w14:paraId="73C8DDB5" w14:textId="77777777" w:rsidR="00730154" w:rsidRPr="00730154" w:rsidRDefault="00730154" w:rsidP="00E1521D">
      <w:pPr>
        <w:shd w:val="clear" w:color="auto" w:fill="FFFFFF" w:themeFill="background1"/>
        <w:jc w:val="both"/>
        <w:rPr>
          <w:rFonts w:ascii="Cambria" w:hAnsi="Cambria"/>
          <w:b/>
          <w:bCs/>
        </w:rPr>
      </w:pPr>
    </w:p>
    <w:p w14:paraId="7BEE53E6" w14:textId="24CD7DE5" w:rsidR="00730154" w:rsidRDefault="00730154" w:rsidP="00E1521D">
      <w:pPr>
        <w:shd w:val="clear" w:color="auto" w:fill="FFFFFF" w:themeFill="background1"/>
        <w:jc w:val="both"/>
        <w:rPr>
          <w:rFonts w:ascii="Cambria" w:hAnsi="Cambria"/>
          <w:b/>
          <w:bCs/>
        </w:rPr>
      </w:pPr>
    </w:p>
    <w:p w14:paraId="7A638950" w14:textId="5797BB12" w:rsidR="00FF1420" w:rsidRDefault="00FF1420" w:rsidP="00E1521D">
      <w:pPr>
        <w:shd w:val="clear" w:color="auto" w:fill="FFFFFF" w:themeFill="background1"/>
        <w:jc w:val="both"/>
        <w:rPr>
          <w:rFonts w:ascii="Cambria" w:hAnsi="Cambria"/>
          <w:b/>
          <w:bCs/>
        </w:rPr>
      </w:pPr>
    </w:p>
    <w:p w14:paraId="72F088DD" w14:textId="77777777" w:rsidR="00FF1420" w:rsidRPr="00730154" w:rsidRDefault="00FF1420" w:rsidP="00E1521D">
      <w:pPr>
        <w:shd w:val="clear" w:color="auto" w:fill="FFFFFF" w:themeFill="background1"/>
        <w:jc w:val="both"/>
        <w:rPr>
          <w:rFonts w:ascii="Cambria" w:hAnsi="Cambria"/>
          <w:b/>
          <w:bCs/>
        </w:rPr>
      </w:pPr>
    </w:p>
    <w:p w14:paraId="79A540D3" w14:textId="11BD1312" w:rsidR="00730154" w:rsidRPr="00730154" w:rsidRDefault="00AD60EF" w:rsidP="00E1521D">
      <w:pPr>
        <w:shd w:val="clear" w:color="auto" w:fill="E8E8E8" w:themeFill="background2"/>
        <w:jc w:val="both"/>
        <w:rPr>
          <w:rFonts w:ascii="Cambria" w:hAnsi="Cambria"/>
          <w:b/>
          <w:bCs/>
        </w:rPr>
      </w:pPr>
      <w:r>
        <w:rPr>
          <w:rFonts w:ascii="Cambria" w:hAnsi="Cambria"/>
          <w:b/>
          <w:bCs/>
        </w:rPr>
        <w:lastRenderedPageBreak/>
        <w:t>Consulta No.19.-</w:t>
      </w:r>
      <w:r w:rsidRPr="001515D8">
        <w:t xml:space="preserve"> </w:t>
      </w:r>
      <w:r w:rsidR="00730154" w:rsidRPr="00730154">
        <w:rPr>
          <w:rFonts w:ascii="Cambria" w:hAnsi="Cambria"/>
          <w:b/>
          <w:bCs/>
        </w:rPr>
        <w:t>Exigencia desproporcionada de solvencia técnica (Cláusula 2.4 – IAL 39)</w:t>
      </w:r>
      <w:r>
        <w:rPr>
          <w:rFonts w:ascii="Cambria" w:hAnsi="Cambria"/>
          <w:b/>
          <w:bCs/>
        </w:rPr>
        <w:t xml:space="preserve"> </w:t>
      </w:r>
      <w:r w:rsidR="00730154" w:rsidRPr="00730154">
        <w:rPr>
          <w:rFonts w:ascii="Cambria" w:hAnsi="Cambria"/>
          <w:b/>
          <w:bCs/>
        </w:rPr>
        <w:t>La cláusula 2.4 del requisito IAL 39 establece la obligación de acreditar experiencia mediante un número acumulado de luminarias instaladas superior a 250.000 unidades.</w:t>
      </w:r>
    </w:p>
    <w:p w14:paraId="5B8BB81A" w14:textId="77777777" w:rsidR="00730154" w:rsidRPr="00730154" w:rsidRDefault="00730154" w:rsidP="00E1521D">
      <w:pPr>
        <w:shd w:val="clear" w:color="auto" w:fill="E8E8E8" w:themeFill="background2"/>
        <w:jc w:val="both"/>
        <w:rPr>
          <w:rFonts w:ascii="Cambria" w:hAnsi="Cambria"/>
          <w:b/>
          <w:bCs/>
        </w:rPr>
      </w:pPr>
      <w:r w:rsidRPr="00730154">
        <w:rPr>
          <w:rFonts w:ascii="Cambria" w:hAnsi="Cambria"/>
          <w:b/>
          <w:bCs/>
        </w:rPr>
        <w:t>A nuestro entender, este umbral:</w:t>
      </w:r>
    </w:p>
    <w:p w14:paraId="3E09A68F" w14:textId="77777777" w:rsidR="00730154" w:rsidRPr="00730154" w:rsidRDefault="00730154" w:rsidP="00E1521D">
      <w:pPr>
        <w:shd w:val="clear" w:color="auto" w:fill="E8E8E8" w:themeFill="background2"/>
        <w:jc w:val="both"/>
        <w:rPr>
          <w:rFonts w:ascii="Cambria" w:hAnsi="Cambria"/>
          <w:b/>
          <w:bCs/>
        </w:rPr>
      </w:pPr>
      <w:r w:rsidRPr="00730154">
        <w:rPr>
          <w:rFonts w:ascii="Cambria" w:hAnsi="Cambria"/>
          <w:b/>
          <w:bCs/>
        </w:rPr>
        <w:t>Excede ampliamente el número total de luminarias correspondiente a cada uno de los lotes (Lotes 1, 2 y 3).</w:t>
      </w:r>
    </w:p>
    <w:p w14:paraId="3D610B83" w14:textId="41999C95" w:rsidR="00730154" w:rsidRPr="00730154" w:rsidRDefault="00730154" w:rsidP="00E1521D">
      <w:pPr>
        <w:shd w:val="clear" w:color="auto" w:fill="E8E8E8" w:themeFill="background2"/>
        <w:jc w:val="both"/>
        <w:rPr>
          <w:rFonts w:ascii="Cambria" w:hAnsi="Cambria"/>
          <w:b/>
          <w:bCs/>
        </w:rPr>
      </w:pPr>
      <w:r w:rsidRPr="00730154">
        <w:rPr>
          <w:rFonts w:ascii="Cambria" w:hAnsi="Cambria"/>
          <w:b/>
          <w:bCs/>
        </w:rPr>
        <w:t>Carece de una proporcionalidad directa con el alcance real de los trabajos licitados.</w:t>
      </w:r>
      <w:r w:rsidR="00014504">
        <w:rPr>
          <w:rFonts w:ascii="Cambria" w:hAnsi="Cambria"/>
          <w:b/>
          <w:bCs/>
        </w:rPr>
        <w:t xml:space="preserve"> </w:t>
      </w:r>
      <w:r w:rsidRPr="00730154">
        <w:rPr>
          <w:rFonts w:ascii="Cambria" w:hAnsi="Cambria"/>
          <w:b/>
          <w:bCs/>
        </w:rPr>
        <w:t>Puede generar la percepción de una orientación restrictiva del proceso, limitando injustificadamente la concurrencia.</w:t>
      </w:r>
    </w:p>
    <w:p w14:paraId="4F0369DE" w14:textId="77777777" w:rsidR="00730154" w:rsidRPr="00730154" w:rsidRDefault="00730154" w:rsidP="00E1521D">
      <w:pPr>
        <w:shd w:val="clear" w:color="auto" w:fill="E8E8E8" w:themeFill="background2"/>
        <w:jc w:val="both"/>
        <w:rPr>
          <w:rFonts w:ascii="Cambria" w:hAnsi="Cambria"/>
          <w:b/>
          <w:bCs/>
        </w:rPr>
      </w:pPr>
      <w:r w:rsidRPr="00730154">
        <w:rPr>
          <w:rFonts w:ascii="Cambria" w:hAnsi="Cambria"/>
          <w:b/>
          <w:bCs/>
        </w:rPr>
        <w:t>Este nivel de exigencia podría excluir a un número significativo de empresas técnicamente capacitadas, que podrían aportar soluciones innovadoras y tecnológicamente superiores, y provocar como efecto indirecto una reducción sustancial del número de oferentes, menor competencia efectiva y potencialmente, ofertas económicas menos favorables para la propia entidad contratante.</w:t>
      </w:r>
    </w:p>
    <w:p w14:paraId="014B6810" w14:textId="6904B788" w:rsidR="00244DCC" w:rsidRDefault="00730154" w:rsidP="00E1521D">
      <w:pPr>
        <w:shd w:val="clear" w:color="auto" w:fill="E8E8E8" w:themeFill="background2"/>
        <w:jc w:val="both"/>
        <w:rPr>
          <w:rFonts w:ascii="Cambria" w:hAnsi="Cambria"/>
          <w:b/>
          <w:bCs/>
        </w:rPr>
      </w:pPr>
      <w:r w:rsidRPr="00730154">
        <w:rPr>
          <w:rFonts w:ascii="Cambria" w:hAnsi="Cambria"/>
          <w:b/>
          <w:bCs/>
        </w:rPr>
        <w:t>Solicitud de revisión / aclaración</w:t>
      </w:r>
      <w:r w:rsidR="00603209">
        <w:rPr>
          <w:rFonts w:ascii="Cambria" w:hAnsi="Cambria"/>
          <w:b/>
          <w:bCs/>
        </w:rPr>
        <w:t xml:space="preserve">. </w:t>
      </w:r>
      <w:r w:rsidRPr="00730154">
        <w:rPr>
          <w:rFonts w:ascii="Cambria" w:hAnsi="Cambria"/>
          <w:b/>
          <w:bCs/>
        </w:rPr>
        <w:t>A la luz de lo anterior, agradeceríamos que la entidad contratante valore la revisión de estos aspectos, o en su defecto emita las aclaraciones oportunas, con el objetivo de favorecer una participación más amplia, competitiva y alineada con los principios que rigen las licitaciones financiadas por organismos multilaterales.</w:t>
      </w:r>
    </w:p>
    <w:p w14:paraId="7633E654" w14:textId="77777777" w:rsidR="00A13830" w:rsidRDefault="00A13830" w:rsidP="00E1521D">
      <w:pPr>
        <w:shd w:val="clear" w:color="auto" w:fill="FFFFFF" w:themeFill="background1"/>
        <w:jc w:val="both"/>
        <w:rPr>
          <w:rFonts w:ascii="Cambria" w:hAnsi="Cambria"/>
          <w:b/>
          <w:bCs/>
        </w:rPr>
      </w:pPr>
    </w:p>
    <w:p w14:paraId="035687B8" w14:textId="77777777" w:rsidR="00014504" w:rsidRPr="00FF1420" w:rsidRDefault="00014504" w:rsidP="00FF1420">
      <w:pPr>
        <w:jc w:val="both"/>
        <w:rPr>
          <w:rFonts w:ascii="Cambria" w:hAnsi="Cambria"/>
          <w:b/>
          <w:bCs/>
          <w:highlight w:val="green"/>
        </w:rPr>
      </w:pPr>
      <w:r w:rsidRPr="00FF1420">
        <w:rPr>
          <w:rFonts w:ascii="Cambria" w:hAnsi="Cambria"/>
          <w:b/>
          <w:bCs/>
          <w:highlight w:val="green"/>
        </w:rPr>
        <w:t xml:space="preserve">Respuesta: </w:t>
      </w:r>
    </w:p>
    <w:p w14:paraId="29A1457C" w14:textId="4C7BED85" w:rsidR="00014504" w:rsidRPr="009F626B" w:rsidRDefault="00EF71BC" w:rsidP="00EF71BC">
      <w:pPr>
        <w:jc w:val="both"/>
        <w:rPr>
          <w:u w:val="single"/>
        </w:rPr>
      </w:pPr>
      <w:r>
        <w:rPr>
          <w:rFonts w:ascii="Cambria" w:hAnsi="Cambria"/>
          <w:color w:val="275317" w:themeColor="accent6" w:themeShade="80"/>
        </w:rPr>
        <w:t>Se exige el número de luminaria correspondiente a cada lote.</w:t>
      </w:r>
    </w:p>
    <w:p w14:paraId="2AF35CE5" w14:textId="77777777" w:rsidR="00014504" w:rsidRPr="009F626B" w:rsidRDefault="00014504" w:rsidP="00E1521D">
      <w:pPr>
        <w:jc w:val="both"/>
        <w:rPr>
          <w:u w:val="single"/>
        </w:rPr>
      </w:pPr>
    </w:p>
    <w:p w14:paraId="553F9588" w14:textId="77777777" w:rsidR="00014504" w:rsidRPr="009F626B" w:rsidRDefault="00014504" w:rsidP="00E1521D">
      <w:pPr>
        <w:jc w:val="both"/>
        <w:rPr>
          <w:u w:val="single"/>
        </w:rPr>
      </w:pPr>
    </w:p>
    <w:p w14:paraId="0358622B" w14:textId="77777777" w:rsidR="00014504" w:rsidRPr="009F626B" w:rsidRDefault="00014504" w:rsidP="00E1521D">
      <w:pPr>
        <w:jc w:val="both"/>
        <w:rPr>
          <w:u w:val="single"/>
        </w:rPr>
      </w:pPr>
    </w:p>
    <w:p w14:paraId="70BAC457" w14:textId="77777777" w:rsidR="00014504" w:rsidRPr="00BA62EE" w:rsidRDefault="00014504" w:rsidP="00E1521D">
      <w:pPr>
        <w:pStyle w:val="Prrafodelista"/>
        <w:jc w:val="both"/>
        <w:rPr>
          <w:rFonts w:ascii="Cambria" w:hAnsi="Cambria"/>
          <w:b/>
          <w:bCs/>
        </w:rPr>
      </w:pPr>
      <w:r w:rsidRPr="00BA62EE">
        <w:rPr>
          <w:u w:val="single"/>
        </w:rPr>
        <w:tab/>
      </w:r>
      <w:r w:rsidRPr="00BA62EE">
        <w:rPr>
          <w:u w:val="single"/>
        </w:rPr>
        <w:tab/>
      </w:r>
    </w:p>
    <w:p w14:paraId="5C8E7516" w14:textId="271AE6CF" w:rsidR="00E47C8C" w:rsidRPr="00F534B6" w:rsidRDefault="000D0891" w:rsidP="00E1521D">
      <w:pPr>
        <w:shd w:val="clear" w:color="auto" w:fill="E8E8E8" w:themeFill="background2"/>
        <w:jc w:val="both"/>
        <w:rPr>
          <w:rFonts w:ascii="Cambria" w:hAnsi="Cambria"/>
          <w:b/>
          <w:bCs/>
        </w:rPr>
      </w:pPr>
      <w:r>
        <w:rPr>
          <w:rFonts w:ascii="Cambria" w:hAnsi="Cambria"/>
          <w:b/>
          <w:bCs/>
        </w:rPr>
        <w:t>Consulta No.20.-</w:t>
      </w:r>
      <w:r w:rsidRPr="001515D8">
        <w:t xml:space="preserve"> </w:t>
      </w:r>
      <w:r w:rsidR="00F534B6">
        <w:rPr>
          <w:rFonts w:ascii="Cambria" w:hAnsi="Cambria"/>
          <w:b/>
          <w:bCs/>
        </w:rPr>
        <w:t>L</w:t>
      </w:r>
      <w:r w:rsidR="00E47C8C" w:rsidRPr="00F534B6">
        <w:rPr>
          <w:rFonts w:ascii="Cambria" w:hAnsi="Cambria"/>
          <w:b/>
          <w:bCs/>
        </w:rPr>
        <w:t>es rogamos nos confirmen los siguientes puntos en relación con el requisito de acreditar experiencia mínima de 250.000 luminarias / nodos instalados en una ciudad o red en operación:</w:t>
      </w:r>
    </w:p>
    <w:p w14:paraId="602EA7BB" w14:textId="77777777" w:rsidR="00E47C8C" w:rsidRPr="00F534B6" w:rsidRDefault="00E47C8C" w:rsidP="00E1521D">
      <w:pPr>
        <w:shd w:val="clear" w:color="auto" w:fill="E8E8E8" w:themeFill="background2"/>
        <w:jc w:val="both"/>
        <w:rPr>
          <w:rFonts w:ascii="Cambria" w:hAnsi="Cambria"/>
          <w:b/>
          <w:bCs/>
        </w:rPr>
      </w:pPr>
      <w:r w:rsidRPr="00F534B6">
        <w:rPr>
          <w:rFonts w:ascii="Cambria" w:hAnsi="Cambria"/>
          <w:b/>
          <w:bCs/>
        </w:rPr>
        <w:t>¿Es obligatorio que las 250.000 luminarias correspondan a un único proyecto, o es admisible acreditar dicha experiencia mediante varios proyectos de naturaleza comparable, siempre que estén debidamente certificados y, de forma acumulada, alcancen el umbral mínimo indicado?</w:t>
      </w:r>
    </w:p>
    <w:p w14:paraId="18D8C1CE" w14:textId="77777777" w:rsidR="00E47C8C" w:rsidRPr="00F534B6" w:rsidRDefault="00E47C8C" w:rsidP="00E1521D">
      <w:pPr>
        <w:shd w:val="clear" w:color="auto" w:fill="E8E8E8" w:themeFill="background2"/>
        <w:jc w:val="both"/>
        <w:rPr>
          <w:rFonts w:ascii="Cambria" w:hAnsi="Cambria"/>
          <w:b/>
          <w:bCs/>
        </w:rPr>
      </w:pPr>
      <w:r w:rsidRPr="00F534B6">
        <w:rPr>
          <w:rFonts w:ascii="Cambria" w:hAnsi="Cambria"/>
          <w:b/>
          <w:bCs/>
        </w:rPr>
        <w:t>Entendemos que la experiencia debe acreditarse como contratista principal. Les agradeceríamos confirmación de si este requisito implica necesariamente haber sido responsable de la ejecución integral del proyecto (suministro e instalación de las luminarias), y si la experiencia adquirida exclusivamente en calidad de subcontratista no sería válida a estos efectos.</w:t>
      </w:r>
    </w:p>
    <w:p w14:paraId="28DCB52E" w14:textId="21F80872" w:rsidR="00E47C8C" w:rsidRPr="00F534B6" w:rsidRDefault="00E47C8C" w:rsidP="00E1521D">
      <w:pPr>
        <w:shd w:val="clear" w:color="auto" w:fill="E8E8E8" w:themeFill="background2"/>
        <w:jc w:val="both"/>
        <w:rPr>
          <w:rFonts w:ascii="Cambria" w:hAnsi="Cambria"/>
          <w:b/>
          <w:bCs/>
        </w:rPr>
      </w:pPr>
      <w:r w:rsidRPr="00F534B6">
        <w:rPr>
          <w:rFonts w:ascii="Cambria" w:hAnsi="Cambria"/>
          <w:b/>
          <w:bCs/>
        </w:rPr>
        <w:t>En el supuesto de presentarnos en consorcio con un fabricante de luminarias:</w:t>
      </w:r>
      <w:r w:rsidR="00F534B6">
        <w:rPr>
          <w:rFonts w:ascii="Cambria" w:hAnsi="Cambria"/>
          <w:b/>
          <w:bCs/>
        </w:rPr>
        <w:t xml:space="preserve"> </w:t>
      </w:r>
      <w:r w:rsidRPr="00F534B6">
        <w:rPr>
          <w:rFonts w:ascii="Cambria" w:hAnsi="Cambria"/>
          <w:b/>
          <w:bCs/>
        </w:rPr>
        <w:t>¿Sería suficiente acreditar certificados del fabricante relativos al suministro de 250.000 luminarias?</w:t>
      </w:r>
    </w:p>
    <w:p w14:paraId="7ABB27C6" w14:textId="361F6A45" w:rsidR="00A13830" w:rsidRDefault="00E47C8C" w:rsidP="00E1521D">
      <w:pPr>
        <w:shd w:val="clear" w:color="auto" w:fill="E8E8E8" w:themeFill="background2"/>
        <w:jc w:val="both"/>
        <w:rPr>
          <w:rFonts w:ascii="Cambria" w:hAnsi="Cambria"/>
          <w:b/>
          <w:bCs/>
        </w:rPr>
      </w:pPr>
      <w:r w:rsidRPr="00F534B6">
        <w:rPr>
          <w:rFonts w:ascii="Cambria" w:hAnsi="Cambria"/>
          <w:b/>
          <w:bCs/>
        </w:rPr>
        <w:t>¿O es obligatorio que al menos uno de los integrantes del consorcio haya ejecutado proyectos similares al objeto de la licitación, actuando como contratista principal responsable tanto del suministro como de la instalación de las luminarias?</w:t>
      </w:r>
    </w:p>
    <w:p w14:paraId="7204D771" w14:textId="77777777" w:rsidR="00A13830" w:rsidRDefault="00A13830" w:rsidP="00E1521D">
      <w:pPr>
        <w:shd w:val="clear" w:color="auto" w:fill="FFFFFF" w:themeFill="background1"/>
        <w:jc w:val="both"/>
        <w:rPr>
          <w:rFonts w:ascii="Cambria" w:hAnsi="Cambria"/>
          <w:b/>
          <w:bCs/>
        </w:rPr>
      </w:pPr>
    </w:p>
    <w:p w14:paraId="25DAAF86" w14:textId="77777777" w:rsidR="00F534B6" w:rsidRDefault="00F534B6" w:rsidP="00E1521D">
      <w:pPr>
        <w:shd w:val="clear" w:color="auto" w:fill="FFFFFF" w:themeFill="background1"/>
        <w:jc w:val="both"/>
        <w:rPr>
          <w:rFonts w:ascii="Cambria" w:hAnsi="Cambria"/>
          <w:b/>
          <w:bCs/>
        </w:rPr>
      </w:pPr>
    </w:p>
    <w:p w14:paraId="201DA527" w14:textId="77777777" w:rsidR="00F534B6" w:rsidRPr="00DD56AD" w:rsidRDefault="00F534B6" w:rsidP="00DD56AD">
      <w:pPr>
        <w:jc w:val="both"/>
        <w:rPr>
          <w:rFonts w:ascii="Cambria" w:hAnsi="Cambria"/>
          <w:b/>
          <w:bCs/>
          <w:highlight w:val="green"/>
        </w:rPr>
      </w:pPr>
      <w:r w:rsidRPr="00DD56AD">
        <w:rPr>
          <w:rFonts w:ascii="Cambria" w:hAnsi="Cambria"/>
          <w:b/>
          <w:bCs/>
          <w:highlight w:val="green"/>
        </w:rPr>
        <w:t xml:space="preserve">Respuesta: </w:t>
      </w:r>
    </w:p>
    <w:p w14:paraId="5765B7BD" w14:textId="0FC165C4" w:rsidR="00596090" w:rsidRDefault="00EF71BC" w:rsidP="00E1521D">
      <w:pPr>
        <w:jc w:val="both"/>
        <w:rPr>
          <w:u w:val="single"/>
        </w:rPr>
      </w:pPr>
      <w:r>
        <w:rPr>
          <w:rFonts w:ascii="Cambria" w:hAnsi="Cambria"/>
          <w:color w:val="275317" w:themeColor="accent6" w:themeShade="80"/>
        </w:rPr>
        <w:t xml:space="preserve">Se exige el número de luminaria correspondiente a cada lote. </w:t>
      </w:r>
      <w:r w:rsidR="00596090">
        <w:rPr>
          <w:rFonts w:ascii="Cambria" w:hAnsi="Cambria"/>
          <w:color w:val="275317" w:themeColor="accent6" w:themeShade="80"/>
        </w:rPr>
        <w:t>Es obligatorio que al menos uno de los integrantes cumpla con la solvencia técnica establecida en los pliegos en cuanto al suministro e instalación de luminarias.</w:t>
      </w:r>
    </w:p>
    <w:p w14:paraId="2C55814A" w14:textId="3BC2E0F4" w:rsidR="00F534B6" w:rsidRPr="009F626B" w:rsidRDefault="00F534B6" w:rsidP="00E1521D">
      <w:pPr>
        <w:jc w:val="both"/>
        <w:rPr>
          <w:u w:val="single"/>
        </w:rPr>
      </w:pPr>
    </w:p>
    <w:p w14:paraId="674DCF98" w14:textId="77777777" w:rsidR="00F534B6" w:rsidRPr="009F626B" w:rsidRDefault="00F534B6" w:rsidP="00E1521D">
      <w:pPr>
        <w:jc w:val="both"/>
        <w:rPr>
          <w:u w:val="single"/>
        </w:rPr>
      </w:pPr>
    </w:p>
    <w:p w14:paraId="2F21E0A6" w14:textId="77777777" w:rsidR="00F534B6" w:rsidRPr="009F626B" w:rsidRDefault="00F534B6" w:rsidP="00E1521D">
      <w:pPr>
        <w:jc w:val="both"/>
        <w:rPr>
          <w:u w:val="single"/>
        </w:rPr>
      </w:pPr>
    </w:p>
    <w:p w14:paraId="41B3FF65" w14:textId="77777777" w:rsidR="00F534B6" w:rsidRPr="009F626B" w:rsidRDefault="00F534B6" w:rsidP="00E1521D">
      <w:pPr>
        <w:jc w:val="both"/>
        <w:rPr>
          <w:u w:val="single"/>
        </w:rPr>
      </w:pPr>
    </w:p>
    <w:p w14:paraId="31599D49" w14:textId="77777777" w:rsidR="00F534B6" w:rsidRPr="00BA62EE" w:rsidRDefault="00F534B6" w:rsidP="00E1521D">
      <w:pPr>
        <w:pStyle w:val="Prrafodelista"/>
        <w:jc w:val="both"/>
        <w:rPr>
          <w:rFonts w:ascii="Cambria" w:hAnsi="Cambria"/>
          <w:b/>
          <w:bCs/>
        </w:rPr>
      </w:pPr>
      <w:r w:rsidRPr="00BA62EE">
        <w:rPr>
          <w:u w:val="single"/>
        </w:rPr>
        <w:tab/>
      </w:r>
      <w:r w:rsidRPr="00BA62EE">
        <w:rPr>
          <w:u w:val="single"/>
        </w:rPr>
        <w:tab/>
      </w:r>
    </w:p>
    <w:p w14:paraId="14DECDAD" w14:textId="77777777" w:rsidR="00F534B6" w:rsidRDefault="00F534B6" w:rsidP="00E1521D">
      <w:pPr>
        <w:shd w:val="clear" w:color="auto" w:fill="FFFFFF" w:themeFill="background1"/>
        <w:jc w:val="both"/>
        <w:rPr>
          <w:rFonts w:ascii="Cambria" w:hAnsi="Cambria"/>
          <w:b/>
          <w:bCs/>
        </w:rPr>
      </w:pPr>
    </w:p>
    <w:p w14:paraId="0D1FF44E" w14:textId="5DB9FF1D" w:rsidR="00F534B6" w:rsidRPr="00F534B6" w:rsidRDefault="00F534B6" w:rsidP="00E1521D">
      <w:pPr>
        <w:shd w:val="clear" w:color="auto" w:fill="E8E8E8" w:themeFill="background2"/>
        <w:jc w:val="both"/>
        <w:rPr>
          <w:rFonts w:ascii="Cambria" w:hAnsi="Cambria"/>
          <w:b/>
          <w:bCs/>
        </w:rPr>
      </w:pPr>
      <w:r>
        <w:rPr>
          <w:rFonts w:ascii="Cambria" w:hAnsi="Cambria"/>
          <w:b/>
          <w:bCs/>
        </w:rPr>
        <w:t>Consulta No.21.-</w:t>
      </w:r>
      <w:r w:rsidRPr="001515D8">
        <w:t xml:space="preserve"> </w:t>
      </w:r>
      <w:r w:rsidR="006A2C52" w:rsidRPr="006A2C52">
        <w:rPr>
          <w:rFonts w:ascii="Cambria" w:hAnsi="Cambria"/>
          <w:b/>
          <w:bCs/>
        </w:rPr>
        <w:t>Con respecto al punto 1.7 de la documentación PDTG para luminarias LED y luminarias LED alimentadas por batería: la norma de ensayo ANSI C136.1 se aplica a luminarias que utilizan lámparas de filamento de tungsteno y no es aplicable a las luminarias LED. La aplicación de esta norma al producto en cuestión no se ajusta a los requisitos del proyecto actual. Se recomienda eliminar esta norma de ensayo.</w:t>
      </w:r>
    </w:p>
    <w:p w14:paraId="4A02BF6F" w14:textId="77777777" w:rsidR="00DD56AD" w:rsidRDefault="00DD56AD" w:rsidP="00DD56AD">
      <w:pPr>
        <w:jc w:val="both"/>
        <w:rPr>
          <w:rFonts w:ascii="Cambria" w:hAnsi="Cambria"/>
          <w:b/>
          <w:bCs/>
        </w:rPr>
      </w:pPr>
    </w:p>
    <w:p w14:paraId="3EB86BC8" w14:textId="5FEAB3DB" w:rsidR="00C97CD6" w:rsidRPr="00DD56AD" w:rsidRDefault="00C97CD6" w:rsidP="00DD56AD">
      <w:pPr>
        <w:jc w:val="both"/>
        <w:rPr>
          <w:rFonts w:ascii="Cambria" w:hAnsi="Cambria"/>
          <w:b/>
          <w:bCs/>
          <w:highlight w:val="green"/>
        </w:rPr>
      </w:pPr>
      <w:r w:rsidRPr="00DD56AD">
        <w:rPr>
          <w:rFonts w:ascii="Cambria" w:hAnsi="Cambria"/>
          <w:b/>
          <w:bCs/>
          <w:highlight w:val="green"/>
        </w:rPr>
        <w:t xml:space="preserve">Respuesta: </w:t>
      </w:r>
    </w:p>
    <w:p w14:paraId="27DE1031" w14:textId="738AEADF" w:rsidR="00F534B6" w:rsidRPr="00DD56AD" w:rsidRDefault="00596090" w:rsidP="00DD56AD">
      <w:pPr>
        <w:jc w:val="both"/>
        <w:rPr>
          <w:rFonts w:ascii="Cambria" w:hAnsi="Cambria"/>
          <w:color w:val="275317" w:themeColor="accent6" w:themeShade="80"/>
        </w:rPr>
      </w:pPr>
      <w:r>
        <w:rPr>
          <w:rFonts w:ascii="Cambria" w:hAnsi="Cambria"/>
          <w:color w:val="275317" w:themeColor="accent6" w:themeShade="80"/>
        </w:rPr>
        <w:t xml:space="preserve">Es una errata, hay que eliminar la referencia a esta normativa </w:t>
      </w:r>
      <w:r w:rsidRPr="00596090">
        <w:rPr>
          <w:rFonts w:ascii="Cambria" w:hAnsi="Cambria"/>
          <w:color w:val="275317" w:themeColor="accent6" w:themeShade="80"/>
        </w:rPr>
        <w:t>ANSI C136.1</w:t>
      </w:r>
      <w:r>
        <w:rPr>
          <w:rFonts w:ascii="Cambria" w:hAnsi="Cambria"/>
          <w:color w:val="275317" w:themeColor="accent6" w:themeShade="80"/>
        </w:rPr>
        <w:t>.</w:t>
      </w:r>
      <w:r>
        <w:rPr>
          <w:u w:val="single"/>
        </w:rPr>
        <w:t xml:space="preserve"> </w:t>
      </w:r>
    </w:p>
    <w:p w14:paraId="29A8D212" w14:textId="77777777" w:rsidR="00BD3F79" w:rsidRDefault="00BD3F79" w:rsidP="00E1521D">
      <w:pPr>
        <w:shd w:val="clear" w:color="auto" w:fill="FFFFFF" w:themeFill="background1"/>
        <w:jc w:val="both"/>
        <w:rPr>
          <w:rFonts w:ascii="Cambria" w:hAnsi="Cambria"/>
          <w:b/>
          <w:bCs/>
        </w:rPr>
      </w:pPr>
    </w:p>
    <w:p w14:paraId="42659856" w14:textId="27591D27" w:rsidR="00BD3F79" w:rsidRPr="009F626B" w:rsidRDefault="00BD3F79" w:rsidP="00E1521D">
      <w:pPr>
        <w:shd w:val="clear" w:color="auto" w:fill="E8E8E8" w:themeFill="background2"/>
        <w:jc w:val="both"/>
        <w:rPr>
          <w:rFonts w:ascii="Cambria" w:hAnsi="Cambria"/>
          <w:b/>
          <w:bCs/>
        </w:rPr>
      </w:pPr>
      <w:r>
        <w:rPr>
          <w:rFonts w:ascii="Cambria" w:hAnsi="Cambria"/>
          <w:b/>
          <w:bCs/>
        </w:rPr>
        <w:t>Consulta No.22.-</w:t>
      </w:r>
      <w:r w:rsidRPr="001515D8">
        <w:t xml:space="preserve"> </w:t>
      </w:r>
      <w:r w:rsidR="00ED3F39" w:rsidRPr="00ED3F39">
        <w:rPr>
          <w:rFonts w:ascii="Cambria" w:hAnsi="Cambria"/>
          <w:b/>
          <w:bCs/>
        </w:rPr>
        <w:t>Con respecto al punto 1.7 de los documentos PDTG para luminarias LED y luminarias LED alimentadas por batería: si bien las normas ANSI referenciadas sirven como pautas generales para las pruebas, estas no especifican los elementos de prueba exactos. ¿Es admisible realizar las pruebas utilizando normas sustitutas IEC/EN que sean equivalentes e igualmente válidas?</w:t>
      </w:r>
    </w:p>
    <w:p w14:paraId="39B93EF9" w14:textId="77777777" w:rsidR="00DD56AD" w:rsidRDefault="00DD56AD" w:rsidP="00DD56AD">
      <w:pPr>
        <w:jc w:val="both"/>
        <w:rPr>
          <w:rFonts w:ascii="Cambria" w:hAnsi="Cambria"/>
          <w:b/>
          <w:bCs/>
        </w:rPr>
      </w:pPr>
    </w:p>
    <w:p w14:paraId="76C764EE" w14:textId="33616054" w:rsidR="00C97CD6" w:rsidRPr="009F626B" w:rsidRDefault="00C97CD6" w:rsidP="00DD56AD">
      <w:pPr>
        <w:jc w:val="both"/>
        <w:rPr>
          <w:rFonts w:ascii="Cambria" w:hAnsi="Cambria"/>
          <w:i/>
          <w:iCs/>
        </w:rPr>
      </w:pPr>
      <w:r w:rsidRPr="009F626B">
        <w:rPr>
          <w:rFonts w:ascii="Cambria" w:hAnsi="Cambria"/>
          <w:b/>
          <w:bCs/>
        </w:rPr>
        <w:t>Respuesta</w:t>
      </w:r>
      <w:r w:rsidRPr="009F626B">
        <w:rPr>
          <w:rFonts w:ascii="Cambria" w:hAnsi="Cambria"/>
        </w:rPr>
        <w:t xml:space="preserve">: </w:t>
      </w:r>
    </w:p>
    <w:p w14:paraId="49B662D1" w14:textId="43BCDCB0" w:rsidR="00C97CD6" w:rsidRPr="009F626B" w:rsidRDefault="00596090" w:rsidP="00E1521D">
      <w:pPr>
        <w:jc w:val="both"/>
        <w:rPr>
          <w:u w:val="single"/>
        </w:rPr>
      </w:pPr>
      <w:r>
        <w:rPr>
          <w:rFonts w:ascii="Cambria" w:hAnsi="Cambria"/>
          <w:color w:val="275317" w:themeColor="accent6" w:themeShade="80"/>
        </w:rPr>
        <w:t xml:space="preserve">Se consideran </w:t>
      </w:r>
      <w:r w:rsidR="00DD56AD">
        <w:rPr>
          <w:rFonts w:ascii="Cambria" w:hAnsi="Cambria"/>
          <w:color w:val="275317" w:themeColor="accent6" w:themeShade="80"/>
        </w:rPr>
        <w:t>válidas</w:t>
      </w:r>
      <w:r>
        <w:rPr>
          <w:rFonts w:ascii="Cambria" w:hAnsi="Cambria"/>
          <w:color w:val="275317" w:themeColor="accent6" w:themeShade="80"/>
        </w:rPr>
        <w:t xml:space="preserve"> las normativas internacionales equivalentes a la normativa ANSI que corresponda en cada caso.</w:t>
      </w:r>
    </w:p>
    <w:p w14:paraId="74F9BFFE" w14:textId="77777777" w:rsidR="00C97CD6" w:rsidRPr="009F626B" w:rsidRDefault="00C97CD6" w:rsidP="00E1521D">
      <w:pPr>
        <w:jc w:val="both"/>
        <w:rPr>
          <w:u w:val="single"/>
        </w:rPr>
      </w:pPr>
    </w:p>
    <w:p w14:paraId="436AD4A9" w14:textId="77777777" w:rsidR="00ED3F39" w:rsidRDefault="00ED3F39" w:rsidP="00E1521D">
      <w:pPr>
        <w:jc w:val="both"/>
        <w:rPr>
          <w:rFonts w:ascii="Cambria" w:hAnsi="Cambria"/>
          <w:b/>
          <w:bCs/>
        </w:rPr>
      </w:pPr>
    </w:p>
    <w:p w14:paraId="1C235B2E" w14:textId="214C1C1B" w:rsidR="00ED3F39" w:rsidRDefault="00ED3F39" w:rsidP="00E1521D">
      <w:pPr>
        <w:shd w:val="clear" w:color="auto" w:fill="E8E8E8" w:themeFill="background2"/>
        <w:jc w:val="both"/>
        <w:rPr>
          <w:rFonts w:ascii="Cambria" w:hAnsi="Cambria"/>
          <w:b/>
          <w:bCs/>
        </w:rPr>
      </w:pPr>
      <w:r>
        <w:rPr>
          <w:rFonts w:ascii="Cambria" w:hAnsi="Cambria"/>
          <w:b/>
          <w:bCs/>
        </w:rPr>
        <w:t>Consulta No.23.-</w:t>
      </w:r>
      <w:r w:rsidRPr="001515D8">
        <w:t xml:space="preserve"> </w:t>
      </w:r>
      <w:r w:rsidR="0048471E" w:rsidRPr="0048471E">
        <w:rPr>
          <w:rFonts w:ascii="Cambria" w:hAnsi="Cambria"/>
          <w:b/>
          <w:bCs/>
        </w:rPr>
        <w:t>Las secciones 3.14 y 4.9 del documento PDTG para luminarias LED y luminarias LED alimentadas por batería especifican explícitamente la «certificación UL o una certificación equivalente» (donde dicha certificación debe ser válida y verificable). ¿Se considera la certificación CE una certificación equivalente aceptable?</w:t>
      </w:r>
    </w:p>
    <w:p w14:paraId="0F105863" w14:textId="77777777" w:rsidR="00DD56AD" w:rsidRDefault="00DD56AD" w:rsidP="00DD56AD">
      <w:pPr>
        <w:jc w:val="both"/>
        <w:rPr>
          <w:rFonts w:ascii="Cambria" w:hAnsi="Cambria"/>
          <w:b/>
          <w:bCs/>
        </w:rPr>
      </w:pPr>
    </w:p>
    <w:p w14:paraId="792083BB" w14:textId="3F6B3656" w:rsidR="00C97CD6" w:rsidRPr="009F626B" w:rsidRDefault="00C97CD6" w:rsidP="00DD56AD">
      <w:pPr>
        <w:jc w:val="both"/>
        <w:rPr>
          <w:rFonts w:ascii="Cambria" w:hAnsi="Cambria"/>
          <w:i/>
          <w:iCs/>
        </w:rPr>
      </w:pPr>
      <w:r w:rsidRPr="009F626B">
        <w:rPr>
          <w:rFonts w:ascii="Cambria" w:hAnsi="Cambria"/>
          <w:b/>
          <w:bCs/>
        </w:rPr>
        <w:t>Respuesta</w:t>
      </w:r>
      <w:r w:rsidRPr="009F626B">
        <w:rPr>
          <w:rFonts w:ascii="Cambria" w:hAnsi="Cambria"/>
        </w:rPr>
        <w:t xml:space="preserve">: </w:t>
      </w:r>
    </w:p>
    <w:p w14:paraId="6F6A8C33" w14:textId="18AEAD4D" w:rsidR="00C97CD6" w:rsidRPr="009F626B" w:rsidRDefault="00596090" w:rsidP="00E1521D">
      <w:pPr>
        <w:jc w:val="both"/>
        <w:rPr>
          <w:u w:val="single"/>
        </w:rPr>
      </w:pPr>
      <w:r>
        <w:rPr>
          <w:rFonts w:ascii="Cambria" w:hAnsi="Cambria"/>
          <w:color w:val="275317" w:themeColor="accent6" w:themeShade="80"/>
        </w:rPr>
        <w:t xml:space="preserve">Se consideran </w:t>
      </w:r>
      <w:r w:rsidR="00DD56AD">
        <w:rPr>
          <w:rFonts w:ascii="Cambria" w:hAnsi="Cambria"/>
          <w:color w:val="275317" w:themeColor="accent6" w:themeShade="80"/>
        </w:rPr>
        <w:t>válidas</w:t>
      </w:r>
      <w:r>
        <w:rPr>
          <w:rFonts w:ascii="Cambria" w:hAnsi="Cambria"/>
          <w:color w:val="275317" w:themeColor="accent6" w:themeShade="80"/>
        </w:rPr>
        <w:t xml:space="preserve"> las normativas internacionales equivalentes a la normativa ANSI que corresponda en cada caso</w:t>
      </w:r>
    </w:p>
    <w:p w14:paraId="6591823A" w14:textId="77777777" w:rsidR="00C97CD6" w:rsidRPr="009F626B" w:rsidRDefault="00C97CD6" w:rsidP="00E1521D">
      <w:pPr>
        <w:jc w:val="both"/>
        <w:rPr>
          <w:u w:val="single"/>
        </w:rPr>
      </w:pPr>
    </w:p>
    <w:p w14:paraId="1A3DD519" w14:textId="77777777" w:rsidR="00C97CD6" w:rsidRPr="009F626B" w:rsidRDefault="00C97CD6" w:rsidP="00E1521D">
      <w:pPr>
        <w:jc w:val="both"/>
        <w:rPr>
          <w:u w:val="single"/>
        </w:rPr>
      </w:pPr>
    </w:p>
    <w:p w14:paraId="5124D462" w14:textId="77777777" w:rsidR="00C97CD6" w:rsidRPr="009F626B" w:rsidRDefault="00C97CD6" w:rsidP="00E1521D">
      <w:pPr>
        <w:jc w:val="both"/>
        <w:rPr>
          <w:u w:val="single"/>
        </w:rPr>
      </w:pPr>
    </w:p>
    <w:p w14:paraId="0CF48534" w14:textId="77777777" w:rsidR="00C97CD6" w:rsidRPr="00BA62EE" w:rsidRDefault="00C97CD6" w:rsidP="00E1521D">
      <w:pPr>
        <w:pStyle w:val="Prrafodelista"/>
        <w:jc w:val="both"/>
        <w:rPr>
          <w:rFonts w:ascii="Cambria" w:hAnsi="Cambria"/>
          <w:b/>
          <w:bCs/>
        </w:rPr>
      </w:pPr>
      <w:r w:rsidRPr="00BA62EE">
        <w:rPr>
          <w:u w:val="single"/>
        </w:rPr>
        <w:tab/>
      </w:r>
      <w:r w:rsidRPr="00BA62EE">
        <w:rPr>
          <w:u w:val="single"/>
        </w:rPr>
        <w:tab/>
      </w:r>
    </w:p>
    <w:p w14:paraId="703533CC" w14:textId="77777777" w:rsidR="00ED3F39" w:rsidRDefault="00ED3F39" w:rsidP="00E1521D">
      <w:pPr>
        <w:jc w:val="both"/>
        <w:rPr>
          <w:rFonts w:ascii="Cambria" w:hAnsi="Cambria"/>
          <w:b/>
          <w:bCs/>
        </w:rPr>
      </w:pPr>
    </w:p>
    <w:p w14:paraId="77DB7DE1" w14:textId="094AF072" w:rsidR="00EE7EBF" w:rsidRPr="00EE7EBF" w:rsidRDefault="0048471E" w:rsidP="00EE7EBF">
      <w:pPr>
        <w:shd w:val="clear" w:color="auto" w:fill="E8E8E8" w:themeFill="background2"/>
        <w:jc w:val="both"/>
        <w:rPr>
          <w:rFonts w:ascii="Cambria" w:hAnsi="Cambria"/>
          <w:b/>
          <w:bCs/>
        </w:rPr>
      </w:pPr>
      <w:r>
        <w:rPr>
          <w:rFonts w:ascii="Cambria" w:hAnsi="Cambria"/>
          <w:b/>
          <w:bCs/>
        </w:rPr>
        <w:lastRenderedPageBreak/>
        <w:t>Consulta No.24.-</w:t>
      </w:r>
      <w:r w:rsidRPr="001515D8">
        <w:t xml:space="preserve"> </w:t>
      </w:r>
      <w:r w:rsidR="002F2B9F" w:rsidRPr="002F2B9F">
        <w:rPr>
          <w:rFonts w:ascii="Cambria" w:hAnsi="Cambria"/>
          <w:b/>
          <w:bCs/>
        </w:rPr>
        <w:t>La Sección 4.6 del documento PDTG para luminarias LED y luminarias LED alimentadas por batería estipula de manera uniforme que el flujo luminoso para luminarias de todas las potencias nominales debe ser ≥ 11.700 lm. Este requisito no se alinea con el flujo luminoso real de los productos en cuestión; ¿Debería determinarse y evaluarse el flujo luminoso real multiplicando la potencia nominal correspondiente por la eficacia luminosa?</w:t>
      </w:r>
    </w:p>
    <w:p w14:paraId="0DCE6A7D" w14:textId="77777777" w:rsidR="00EE7EBF" w:rsidRDefault="00EE7EBF" w:rsidP="00EE7EBF">
      <w:pPr>
        <w:jc w:val="both"/>
        <w:rPr>
          <w:rFonts w:ascii="Cambria" w:hAnsi="Cambria"/>
          <w:b/>
          <w:bCs/>
          <w:highlight w:val="green"/>
        </w:rPr>
      </w:pPr>
    </w:p>
    <w:p w14:paraId="1A510A04" w14:textId="1AF6EC28" w:rsidR="00EE7EBF" w:rsidRDefault="00EE7EBF" w:rsidP="00EE7EBF">
      <w:pPr>
        <w:jc w:val="both"/>
        <w:rPr>
          <w:rFonts w:ascii="Cambria" w:hAnsi="Cambria"/>
          <w:i/>
          <w:iCs/>
        </w:rPr>
      </w:pPr>
      <w:r w:rsidRPr="006F3918">
        <w:rPr>
          <w:rFonts w:ascii="Cambria" w:hAnsi="Cambria"/>
          <w:b/>
          <w:bCs/>
          <w:highlight w:val="green"/>
        </w:rPr>
        <w:t>Respuesta</w:t>
      </w:r>
      <w:r w:rsidRPr="006F3918">
        <w:rPr>
          <w:rFonts w:ascii="Cambria" w:hAnsi="Cambria"/>
          <w:highlight w:val="green"/>
        </w:rPr>
        <w:t>:</w:t>
      </w:r>
      <w:r>
        <w:rPr>
          <w:rFonts w:ascii="Cambria" w:hAnsi="Cambria"/>
        </w:rPr>
        <w:t xml:space="preserve"> </w:t>
      </w:r>
    </w:p>
    <w:p w14:paraId="31FA002A" w14:textId="054A2A71" w:rsidR="00EE7EBF" w:rsidRDefault="00EE7EBF" w:rsidP="00EE7EBF">
      <w:pPr>
        <w:jc w:val="both"/>
        <w:rPr>
          <w:u w:val="single"/>
        </w:rPr>
      </w:pPr>
      <w:r>
        <w:rPr>
          <w:rFonts w:ascii="Cambria" w:hAnsi="Cambria"/>
          <w:color w:val="275317" w:themeColor="accent6" w:themeShade="80"/>
        </w:rPr>
        <w:t>Se elimina la exigencia relativa al flujo luminoso ≥ 11,700lm. Se exige exclusivamente el cumplimiento de la e</w:t>
      </w:r>
      <w:r w:rsidRPr="000F1A93">
        <w:rPr>
          <w:rFonts w:ascii="Cambria" w:hAnsi="Cambria"/>
          <w:color w:val="275317" w:themeColor="accent6" w:themeShade="80"/>
        </w:rPr>
        <w:t>ficiencia lm/</w:t>
      </w:r>
      <w:r>
        <w:rPr>
          <w:rFonts w:ascii="Cambria" w:hAnsi="Cambria"/>
          <w:color w:val="275317" w:themeColor="accent6" w:themeShade="80"/>
        </w:rPr>
        <w:t>W</w:t>
      </w:r>
      <w:r w:rsidRPr="000F1A93">
        <w:rPr>
          <w:rFonts w:ascii="Cambria" w:hAnsi="Cambria"/>
          <w:color w:val="275317" w:themeColor="accent6" w:themeShade="80"/>
        </w:rPr>
        <w:t xml:space="preserve"> </w:t>
      </w:r>
      <w:r>
        <w:rPr>
          <w:rFonts w:ascii="Cambria" w:hAnsi="Cambria"/>
          <w:color w:val="275317" w:themeColor="accent6" w:themeShade="80"/>
        </w:rPr>
        <w:t>con un valor m</w:t>
      </w:r>
      <w:r w:rsidRPr="000F1A93">
        <w:rPr>
          <w:rFonts w:ascii="Cambria" w:hAnsi="Cambria"/>
          <w:color w:val="275317" w:themeColor="accent6" w:themeShade="80"/>
        </w:rPr>
        <w:t xml:space="preserve">ínimo </w:t>
      </w:r>
      <w:r>
        <w:rPr>
          <w:rFonts w:ascii="Cambria" w:hAnsi="Cambria"/>
          <w:color w:val="275317" w:themeColor="accent6" w:themeShade="80"/>
        </w:rPr>
        <w:t xml:space="preserve">ensayado ≥150 lm/W. Los valores sugeridos en la tabla de la consulta número 3, son correctos y serán considerados en la PDGT. </w:t>
      </w:r>
    </w:p>
    <w:p w14:paraId="550E2291" w14:textId="77777777" w:rsidR="00EE7EBF" w:rsidRPr="009F626B" w:rsidRDefault="00EE7EBF" w:rsidP="00E1521D">
      <w:pPr>
        <w:jc w:val="both"/>
        <w:rPr>
          <w:u w:val="single"/>
        </w:rPr>
      </w:pPr>
    </w:p>
    <w:p w14:paraId="58170680" w14:textId="77777777" w:rsidR="002F2B9F" w:rsidRDefault="002F2B9F" w:rsidP="00E1521D">
      <w:pPr>
        <w:jc w:val="both"/>
        <w:rPr>
          <w:rFonts w:ascii="Cambria" w:hAnsi="Cambria"/>
          <w:b/>
          <w:bCs/>
        </w:rPr>
      </w:pPr>
    </w:p>
    <w:p w14:paraId="5F59DD51" w14:textId="5720C72A" w:rsidR="002F2B9F" w:rsidRPr="00AB749E" w:rsidRDefault="002F2B9F" w:rsidP="00E1521D">
      <w:pPr>
        <w:shd w:val="clear" w:color="auto" w:fill="E8E8E8" w:themeFill="background2"/>
        <w:jc w:val="both"/>
        <w:rPr>
          <w:rFonts w:ascii="Cambria" w:hAnsi="Cambria"/>
          <w:b/>
          <w:bCs/>
        </w:rPr>
      </w:pPr>
      <w:r w:rsidRPr="00AB749E">
        <w:rPr>
          <w:rFonts w:ascii="Cambria" w:hAnsi="Cambria"/>
          <w:b/>
          <w:bCs/>
        </w:rPr>
        <w:t>Consulta No.25.-</w:t>
      </w:r>
      <w:r w:rsidRPr="00AB749E">
        <w:t xml:space="preserve"> </w:t>
      </w:r>
      <w:r w:rsidR="004E47CA" w:rsidRPr="00AB749E">
        <w:rPr>
          <w:rFonts w:ascii="Cambria" w:hAnsi="Cambria"/>
          <w:b/>
          <w:bCs/>
        </w:rPr>
        <w:t>En la sección 9.5 del documento PDTG para luminarias LED con baterías, la potencia se define como 100 vatios en toda la documentación. Esta cifra entra en conflicto con la potencia nominal especificada en el encabezado de la documentación técnica. ¿Debe utilizarse la potencia nominal indicada en el encabezado de la documentación técnica como referencia para las pruebas? ¿Debe el consumo de energía de una luz de emergencia en modo de emergencia coincidir con su consumo de energía en modo normal?</w:t>
      </w:r>
    </w:p>
    <w:p w14:paraId="72B0F595" w14:textId="77777777" w:rsidR="00EE7EBF" w:rsidRDefault="00EE7EBF" w:rsidP="00EE7EBF">
      <w:pPr>
        <w:jc w:val="both"/>
        <w:rPr>
          <w:rFonts w:ascii="Cambria" w:hAnsi="Cambria"/>
          <w:b/>
          <w:bCs/>
        </w:rPr>
      </w:pPr>
    </w:p>
    <w:p w14:paraId="3EE1F054" w14:textId="42D7FA7A" w:rsidR="00C97CD6" w:rsidRPr="00EE7EBF" w:rsidRDefault="00C97CD6" w:rsidP="00EE7EBF">
      <w:pPr>
        <w:jc w:val="both"/>
        <w:rPr>
          <w:rFonts w:ascii="Cambria" w:hAnsi="Cambria"/>
          <w:b/>
          <w:bCs/>
          <w:highlight w:val="green"/>
        </w:rPr>
      </w:pPr>
      <w:r w:rsidRPr="00EE7EBF">
        <w:rPr>
          <w:rFonts w:ascii="Cambria" w:hAnsi="Cambria"/>
          <w:b/>
          <w:bCs/>
          <w:highlight w:val="green"/>
        </w:rPr>
        <w:t xml:space="preserve">Respuesta: </w:t>
      </w:r>
    </w:p>
    <w:p w14:paraId="7881E9BC" w14:textId="2F209231" w:rsidR="00C97CD6" w:rsidRPr="009F626B" w:rsidRDefault="00AB749E" w:rsidP="00E1521D">
      <w:pPr>
        <w:jc w:val="both"/>
        <w:rPr>
          <w:u w:val="single"/>
        </w:rPr>
      </w:pPr>
      <w:r>
        <w:rPr>
          <w:rFonts w:ascii="Cambria" w:hAnsi="Cambria"/>
          <w:color w:val="275317" w:themeColor="accent6" w:themeShade="80"/>
        </w:rPr>
        <w:t>Sí, es una errata, hay que considerar la potencia que corresponde en cada caso en base al encabezado de cada ficha.</w:t>
      </w:r>
    </w:p>
    <w:p w14:paraId="1EA880DE" w14:textId="77777777" w:rsidR="002F2B9F" w:rsidRDefault="002F2B9F" w:rsidP="00E1521D">
      <w:pPr>
        <w:jc w:val="both"/>
        <w:rPr>
          <w:rFonts w:ascii="Cambria" w:hAnsi="Cambria"/>
          <w:b/>
          <w:bCs/>
        </w:rPr>
      </w:pPr>
    </w:p>
    <w:p w14:paraId="0D399A64" w14:textId="77777777" w:rsidR="004E47CA" w:rsidRDefault="004E47CA" w:rsidP="00E1521D">
      <w:pPr>
        <w:jc w:val="both"/>
        <w:rPr>
          <w:rFonts w:ascii="Cambria" w:hAnsi="Cambria"/>
          <w:b/>
          <w:bCs/>
        </w:rPr>
      </w:pPr>
    </w:p>
    <w:p w14:paraId="5FCF859E" w14:textId="4D0DBB2E" w:rsidR="004E47CA" w:rsidRDefault="004E47CA" w:rsidP="00E1521D">
      <w:pPr>
        <w:shd w:val="clear" w:color="auto" w:fill="E8E8E8" w:themeFill="background2"/>
        <w:jc w:val="both"/>
        <w:rPr>
          <w:rFonts w:ascii="Cambria" w:hAnsi="Cambria"/>
          <w:b/>
          <w:bCs/>
        </w:rPr>
      </w:pPr>
      <w:r>
        <w:rPr>
          <w:rFonts w:ascii="Cambria" w:hAnsi="Cambria"/>
          <w:b/>
          <w:bCs/>
        </w:rPr>
        <w:t>Consulta No.26.-</w:t>
      </w:r>
      <w:r w:rsidRPr="001515D8">
        <w:t xml:space="preserve"> </w:t>
      </w:r>
      <w:r w:rsidR="00C97CD6" w:rsidRPr="00C97CD6">
        <w:rPr>
          <w:rFonts w:ascii="Cambria" w:hAnsi="Cambria"/>
          <w:b/>
          <w:bCs/>
        </w:rPr>
        <w:t>Con respecto a los puntos 11 y 12 del documento PDTG para luminarias LED y luminarias LED alimentadas por batería: ¿cuántas muestras deben presentarse por cada potencia nominal? ¿Cuándo está programada la demostración? ¿Cuál es la ubicación designada para la demostración?</w:t>
      </w:r>
    </w:p>
    <w:p w14:paraId="57EC9768" w14:textId="77777777" w:rsidR="001F0A1A" w:rsidRDefault="001F0A1A" w:rsidP="001F0A1A">
      <w:pPr>
        <w:jc w:val="both"/>
        <w:rPr>
          <w:rFonts w:ascii="Cambria" w:hAnsi="Cambria"/>
          <w:b/>
          <w:bCs/>
        </w:rPr>
      </w:pPr>
    </w:p>
    <w:p w14:paraId="103E15AE" w14:textId="460C10C8" w:rsidR="00C97CD6" w:rsidRPr="009F626B" w:rsidRDefault="00C97CD6" w:rsidP="001F0A1A">
      <w:pPr>
        <w:jc w:val="both"/>
        <w:rPr>
          <w:rFonts w:ascii="Cambria" w:hAnsi="Cambria"/>
          <w:i/>
          <w:iCs/>
        </w:rPr>
      </w:pPr>
      <w:r w:rsidRPr="009F626B">
        <w:rPr>
          <w:rFonts w:ascii="Cambria" w:hAnsi="Cambria"/>
          <w:b/>
          <w:bCs/>
        </w:rPr>
        <w:t>Respuesta</w:t>
      </w:r>
      <w:r w:rsidRPr="009F626B">
        <w:rPr>
          <w:rFonts w:ascii="Cambria" w:hAnsi="Cambria"/>
        </w:rPr>
        <w:t xml:space="preserve">: </w:t>
      </w:r>
    </w:p>
    <w:p w14:paraId="19CCE031" w14:textId="55EB9BA9" w:rsidR="00BC4168" w:rsidRPr="001F0A1A" w:rsidRDefault="00BC4168" w:rsidP="00E1521D">
      <w:pPr>
        <w:jc w:val="both"/>
        <w:rPr>
          <w:rFonts w:ascii="Cambria" w:hAnsi="Cambria"/>
          <w:color w:val="275317" w:themeColor="accent6" w:themeShade="80"/>
        </w:rPr>
      </w:pPr>
      <w:r w:rsidRPr="000F1A93">
        <w:rPr>
          <w:rFonts w:ascii="Cambria" w:hAnsi="Cambria"/>
          <w:color w:val="275317" w:themeColor="accent6" w:themeShade="80"/>
        </w:rPr>
        <w:t>Las muestras se solicitarán tras una adjudicación parcial y antes de la adjudicación definitiva; para cada lote, la entidad contratante indicará las unidades y características requeridas de los equipos de muestra, otorgando además un plazo suficiente para su entrega.</w:t>
      </w:r>
      <w:r w:rsidR="00007216">
        <w:rPr>
          <w:rFonts w:ascii="Cambria" w:hAnsi="Cambria"/>
          <w:color w:val="275317" w:themeColor="accent6" w:themeShade="80"/>
        </w:rPr>
        <w:t xml:space="preserve"> </w:t>
      </w:r>
      <w:r w:rsidR="00007216" w:rsidRPr="001F0A1A">
        <w:rPr>
          <w:rFonts w:ascii="Cambria" w:hAnsi="Cambria"/>
          <w:color w:val="275317" w:themeColor="accent6" w:themeShade="80"/>
        </w:rPr>
        <w:t xml:space="preserve">Se entregará una muestra de cada </w:t>
      </w:r>
      <w:r w:rsidR="001F0A1A" w:rsidRPr="001F0A1A">
        <w:rPr>
          <w:rFonts w:ascii="Cambria" w:hAnsi="Cambria"/>
          <w:color w:val="275317" w:themeColor="accent6" w:themeShade="80"/>
        </w:rPr>
        <w:t>potencia</w:t>
      </w:r>
      <w:r w:rsidR="00007216" w:rsidRPr="001F0A1A">
        <w:rPr>
          <w:rFonts w:ascii="Cambria" w:hAnsi="Cambria"/>
          <w:color w:val="275317" w:themeColor="accent6" w:themeShade="80"/>
        </w:rPr>
        <w:t xml:space="preserve"> ofertada en el plazo de </w:t>
      </w:r>
      <w:r w:rsidR="001F0A1A" w:rsidRPr="001F0A1A">
        <w:rPr>
          <w:rFonts w:ascii="Cambria" w:hAnsi="Cambria"/>
          <w:color w:val="275317" w:themeColor="accent6" w:themeShade="80"/>
        </w:rPr>
        <w:t>21 días calendario</w:t>
      </w:r>
      <w:r w:rsidR="00007216" w:rsidRPr="001F0A1A">
        <w:rPr>
          <w:rFonts w:ascii="Cambria" w:hAnsi="Cambria"/>
          <w:color w:val="275317" w:themeColor="accent6" w:themeShade="80"/>
        </w:rPr>
        <w:t xml:space="preserve"> desde la adjudicación definitiva</w:t>
      </w:r>
      <w:r w:rsidR="00007216">
        <w:rPr>
          <w:rFonts w:ascii="Cambria" w:hAnsi="Cambria"/>
          <w:color w:val="275317" w:themeColor="accent6" w:themeShade="80"/>
        </w:rPr>
        <w:t>.</w:t>
      </w:r>
    </w:p>
    <w:p w14:paraId="389C5C1B" w14:textId="77777777" w:rsidR="00C97CD6" w:rsidRPr="009F626B" w:rsidRDefault="00C97CD6" w:rsidP="00E1521D">
      <w:pPr>
        <w:jc w:val="both"/>
        <w:rPr>
          <w:u w:val="single"/>
        </w:rPr>
      </w:pPr>
    </w:p>
    <w:p w14:paraId="618640C9" w14:textId="77777777" w:rsidR="00C97CD6" w:rsidRPr="00BA62EE" w:rsidRDefault="00C97CD6" w:rsidP="00E1521D">
      <w:pPr>
        <w:pStyle w:val="Prrafodelista"/>
        <w:jc w:val="both"/>
        <w:rPr>
          <w:rFonts w:ascii="Cambria" w:hAnsi="Cambria"/>
          <w:b/>
          <w:bCs/>
        </w:rPr>
      </w:pPr>
      <w:r w:rsidRPr="00BA62EE">
        <w:rPr>
          <w:u w:val="single"/>
        </w:rPr>
        <w:tab/>
      </w:r>
      <w:r w:rsidRPr="00BA62EE">
        <w:rPr>
          <w:u w:val="single"/>
        </w:rPr>
        <w:tab/>
      </w:r>
    </w:p>
    <w:p w14:paraId="169F85AF" w14:textId="60D61C50" w:rsidR="00200170" w:rsidRPr="001F0A1A" w:rsidRDefault="00C97CD6" w:rsidP="00E1521D">
      <w:pPr>
        <w:shd w:val="clear" w:color="auto" w:fill="E8E8E8" w:themeFill="background2"/>
        <w:jc w:val="both"/>
        <w:rPr>
          <w:rFonts w:ascii="Cambria" w:hAnsi="Cambria"/>
          <w:b/>
          <w:bCs/>
        </w:rPr>
      </w:pPr>
      <w:r w:rsidRPr="001F0A1A">
        <w:rPr>
          <w:rFonts w:ascii="Cambria" w:hAnsi="Cambria"/>
          <w:b/>
          <w:bCs/>
        </w:rPr>
        <w:t xml:space="preserve">Consulta No.27.- </w:t>
      </w:r>
      <w:r w:rsidR="00200170" w:rsidRPr="001F0A1A">
        <w:rPr>
          <w:rFonts w:ascii="Cambria" w:hAnsi="Cambria"/>
          <w:b/>
          <w:bCs/>
        </w:rPr>
        <w:t xml:space="preserve">Debido a las celebraciones del Día del Trabajo en China, que se llevan a cabo del 1 al 5 de mayo, nuestra disponibilidad y capacidad de preparación se ven afectadas, dado que las tareas relacionadas con la traducción, la apostilla y la revisión de los documentos necesarios requieren un tiempo adicional para garantizar su calidad y cumplimiento de los requisitos. </w:t>
      </w:r>
    </w:p>
    <w:p w14:paraId="3D893677" w14:textId="236BC1DC" w:rsidR="00200170" w:rsidRPr="001F0A1A" w:rsidRDefault="00200170" w:rsidP="00E1521D">
      <w:pPr>
        <w:shd w:val="clear" w:color="auto" w:fill="E8E8E8" w:themeFill="background2"/>
        <w:jc w:val="both"/>
        <w:rPr>
          <w:rFonts w:ascii="Cambria" w:hAnsi="Cambria"/>
          <w:b/>
          <w:bCs/>
        </w:rPr>
      </w:pPr>
      <w:r w:rsidRPr="001F0A1A">
        <w:rPr>
          <w:rFonts w:ascii="Cambria" w:hAnsi="Cambria"/>
          <w:b/>
          <w:bCs/>
        </w:rPr>
        <w:lastRenderedPageBreak/>
        <w:t xml:space="preserve">De acuerdo con las especificaciones del pliego, los documentos de los participantes extranjeros que no estén redactados en español deben ser traducidos y legalizados. Para asegurar la precisión y calidad de dichos documentos, solicitamos respetuosamente una prórroga de un mes, </w:t>
      </w:r>
    </w:p>
    <w:p w14:paraId="4D9EA5BC" w14:textId="6757F305" w:rsidR="00C97CD6" w:rsidRPr="001F0A1A" w:rsidRDefault="00200170" w:rsidP="00E1521D">
      <w:pPr>
        <w:shd w:val="clear" w:color="auto" w:fill="E8E8E8" w:themeFill="background2"/>
        <w:jc w:val="both"/>
        <w:rPr>
          <w:rFonts w:ascii="Cambria" w:hAnsi="Cambria"/>
          <w:b/>
          <w:bCs/>
        </w:rPr>
      </w:pPr>
      <w:r w:rsidRPr="001F0A1A">
        <w:rPr>
          <w:rFonts w:ascii="Cambria" w:hAnsi="Cambria"/>
          <w:b/>
          <w:bCs/>
        </w:rPr>
        <w:t>hasta el 20 de junio, con el fin de completar correctamente estos procesos y presentar una oferta en condiciones óptimas.</w:t>
      </w:r>
    </w:p>
    <w:p w14:paraId="4A9A04AC" w14:textId="77777777" w:rsidR="002F2B9F" w:rsidRPr="00441AA2" w:rsidRDefault="002F2B9F" w:rsidP="00E1521D">
      <w:pPr>
        <w:jc w:val="both"/>
        <w:rPr>
          <w:rFonts w:ascii="Cambria" w:hAnsi="Cambria"/>
          <w:b/>
          <w:bCs/>
          <w:highlight w:val="yellow"/>
        </w:rPr>
      </w:pPr>
    </w:p>
    <w:p w14:paraId="532B0104" w14:textId="77777777" w:rsidR="00200170" w:rsidRPr="00441AA2" w:rsidRDefault="00200170" w:rsidP="00E1521D">
      <w:pPr>
        <w:ind w:left="360"/>
        <w:jc w:val="both"/>
        <w:rPr>
          <w:rFonts w:ascii="Cambria" w:hAnsi="Cambria"/>
          <w:i/>
          <w:iCs/>
          <w:highlight w:val="yellow"/>
        </w:rPr>
      </w:pPr>
      <w:r w:rsidRPr="00441AA2">
        <w:rPr>
          <w:rFonts w:ascii="Cambria" w:hAnsi="Cambria"/>
          <w:b/>
          <w:bCs/>
          <w:highlight w:val="yellow"/>
        </w:rPr>
        <w:t>Respuesta</w:t>
      </w:r>
      <w:r w:rsidRPr="00441AA2">
        <w:rPr>
          <w:rFonts w:ascii="Cambria" w:hAnsi="Cambria"/>
          <w:highlight w:val="yellow"/>
        </w:rPr>
        <w:t xml:space="preserve">: </w:t>
      </w:r>
    </w:p>
    <w:p w14:paraId="33D2E7F8" w14:textId="489C38DC" w:rsidR="00200170" w:rsidRPr="00AE78D8" w:rsidRDefault="00A47760" w:rsidP="00E1521D">
      <w:pPr>
        <w:jc w:val="both"/>
        <w:rPr>
          <w:b/>
          <w:color w:val="EE0000"/>
          <w:highlight w:val="yellow"/>
          <w:u w:val="single"/>
        </w:rPr>
      </w:pPr>
      <w:r w:rsidRPr="00441AA2">
        <w:rPr>
          <w:color w:val="EE0000"/>
          <w:highlight w:val="yellow"/>
          <w:u w:val="single"/>
        </w:rPr>
        <w:t>Para obtener propuestas más completas, el equipo Auditesa sugiere que el plazo global para entrega de ofertas desde la publicación del aviso sea ampliado en 15 días calendario de forma que dispongan de un total de 60 días.</w:t>
      </w:r>
      <w:r w:rsidR="00E35A9E" w:rsidRPr="00441AA2">
        <w:rPr>
          <w:color w:val="EE0000"/>
          <w:highlight w:val="yellow"/>
          <w:u w:val="single"/>
        </w:rPr>
        <w:t xml:space="preserve">  Se requiere que Auditesa indique cuáles serían las pruebas mínimas requeridas y el tiempo que esto supondría (tardaron con 10 personas 2 meses para las 2,000 simulaciones del proceso).</w:t>
      </w:r>
    </w:p>
    <w:p w14:paraId="4789132D" w14:textId="77777777" w:rsidR="001A334D" w:rsidRPr="005E4CD9" w:rsidRDefault="001A334D" w:rsidP="001A334D">
      <w:pPr>
        <w:jc w:val="both"/>
        <w:rPr>
          <w:color w:val="275317" w:themeColor="accent6" w:themeShade="80"/>
        </w:rPr>
      </w:pPr>
      <w:r>
        <w:rPr>
          <w:color w:val="275317" w:themeColor="accent6" w:themeShade="80"/>
        </w:rPr>
        <w:t xml:space="preserve">Se proporciona </w:t>
      </w:r>
      <w:r w:rsidRPr="00C51FCB">
        <w:rPr>
          <w:color w:val="275317" w:themeColor="accent6" w:themeShade="80"/>
        </w:rPr>
        <w:t>el archivo Excel “TABLA MODELOS LUMÍNICOS”</w:t>
      </w:r>
      <w:r>
        <w:rPr>
          <w:color w:val="275317" w:themeColor="accent6" w:themeShade="80"/>
        </w:rPr>
        <w:t xml:space="preserve"> con la geometría de las secciones de cálculo. Asimismo, Se exige el número de luminaria correspondiente a cada lote.</w:t>
      </w:r>
    </w:p>
    <w:p w14:paraId="70B17FDC" w14:textId="77777777" w:rsidR="001A334D" w:rsidRPr="005E4CD9" w:rsidRDefault="001A334D" w:rsidP="001A334D">
      <w:pPr>
        <w:pStyle w:val="Prrafodelista"/>
        <w:numPr>
          <w:ilvl w:val="0"/>
          <w:numId w:val="3"/>
        </w:numPr>
        <w:jc w:val="both"/>
        <w:rPr>
          <w:color w:val="275317" w:themeColor="accent6" w:themeShade="80"/>
        </w:rPr>
      </w:pPr>
      <w:r w:rsidRPr="005E4CD9">
        <w:rPr>
          <w:color w:val="275317" w:themeColor="accent6" w:themeShade="80"/>
        </w:rPr>
        <w:t xml:space="preserve">EDE SUR </w:t>
      </w:r>
      <w:r>
        <w:rPr>
          <w:color w:val="275317" w:themeColor="accent6" w:themeShade="80"/>
        </w:rPr>
        <w:t xml:space="preserve">- </w:t>
      </w:r>
      <w:r w:rsidRPr="005E4CD9">
        <w:rPr>
          <w:color w:val="275317" w:themeColor="accent6" w:themeShade="80"/>
        </w:rPr>
        <w:t xml:space="preserve">100 </w:t>
      </w:r>
      <w:r>
        <w:rPr>
          <w:color w:val="275317" w:themeColor="accent6" w:themeShade="80"/>
        </w:rPr>
        <w:t xml:space="preserve">secciones </w:t>
      </w:r>
    </w:p>
    <w:p w14:paraId="648304F2" w14:textId="77777777" w:rsidR="001A334D" w:rsidRPr="005E4CD9" w:rsidRDefault="001A334D" w:rsidP="001A334D">
      <w:pPr>
        <w:pStyle w:val="Prrafodelista"/>
        <w:numPr>
          <w:ilvl w:val="0"/>
          <w:numId w:val="3"/>
        </w:numPr>
        <w:jc w:val="both"/>
        <w:rPr>
          <w:color w:val="275317" w:themeColor="accent6" w:themeShade="80"/>
        </w:rPr>
      </w:pPr>
      <w:r>
        <w:rPr>
          <w:color w:val="275317" w:themeColor="accent6" w:themeShade="80"/>
        </w:rPr>
        <w:t>EDE NORTE – 100 secciones</w:t>
      </w:r>
    </w:p>
    <w:p w14:paraId="116192A8" w14:textId="77777777" w:rsidR="001A334D" w:rsidRPr="005E4CD9" w:rsidRDefault="001A334D" w:rsidP="001A334D">
      <w:pPr>
        <w:pStyle w:val="Prrafodelista"/>
        <w:numPr>
          <w:ilvl w:val="0"/>
          <w:numId w:val="3"/>
        </w:numPr>
        <w:jc w:val="both"/>
        <w:rPr>
          <w:b/>
        </w:rPr>
      </w:pPr>
      <w:r>
        <w:rPr>
          <w:color w:val="275317" w:themeColor="accent6" w:themeShade="80"/>
        </w:rPr>
        <w:t>EDE ESTE - 110 secciones</w:t>
      </w:r>
    </w:p>
    <w:p w14:paraId="3E3807E2" w14:textId="7D54EBA5" w:rsidR="00AE78D8" w:rsidRDefault="00AE78D8" w:rsidP="00E1521D">
      <w:pPr>
        <w:jc w:val="both"/>
        <w:rPr>
          <w:color w:val="EE0000"/>
          <w:highlight w:val="yellow"/>
          <w:u w:val="single"/>
        </w:rPr>
      </w:pPr>
    </w:p>
    <w:p w14:paraId="3DE122E3" w14:textId="300FE75C" w:rsidR="001F0A1A" w:rsidRPr="00441AA2" w:rsidRDefault="001F0A1A" w:rsidP="00E1521D">
      <w:pPr>
        <w:jc w:val="both"/>
        <w:rPr>
          <w:color w:val="EE0000"/>
          <w:highlight w:val="yellow"/>
          <w:u w:val="single"/>
        </w:rPr>
      </w:pPr>
      <w:r>
        <w:rPr>
          <w:color w:val="EE0000"/>
          <w:highlight w:val="yellow"/>
          <w:u w:val="single"/>
        </w:rPr>
        <w:t xml:space="preserve">Esta respuesta debe ser vista por el coordinador general de </w:t>
      </w:r>
      <w:proofErr w:type="spellStart"/>
      <w:r>
        <w:rPr>
          <w:color w:val="EE0000"/>
          <w:highlight w:val="yellow"/>
          <w:u w:val="single"/>
        </w:rPr>
        <w:t>uep</w:t>
      </w:r>
      <w:proofErr w:type="spellEnd"/>
      <w:r>
        <w:rPr>
          <w:color w:val="EE0000"/>
          <w:highlight w:val="yellow"/>
          <w:u w:val="single"/>
        </w:rPr>
        <w:t>.</w:t>
      </w:r>
    </w:p>
    <w:p w14:paraId="477E9E3D" w14:textId="77777777" w:rsidR="00E35A9E" w:rsidRPr="00441AA2" w:rsidRDefault="00E35A9E" w:rsidP="00E1521D">
      <w:pPr>
        <w:jc w:val="both"/>
        <w:rPr>
          <w:color w:val="EE0000"/>
          <w:highlight w:val="yellow"/>
          <w:u w:val="single"/>
        </w:rPr>
      </w:pPr>
    </w:p>
    <w:p w14:paraId="3324B8D0" w14:textId="21530C7A" w:rsidR="00E35A9E" w:rsidRDefault="00E35A9E" w:rsidP="00E1521D">
      <w:pPr>
        <w:jc w:val="both"/>
        <w:rPr>
          <w:b/>
          <w:bCs/>
          <w:u w:val="single"/>
        </w:rPr>
      </w:pPr>
      <w:r w:rsidRPr="00B5206B">
        <w:rPr>
          <w:b/>
          <w:bCs/>
          <w:highlight w:val="yellow"/>
          <w:u w:val="single"/>
        </w:rPr>
        <w:t>Deben suministrarse los archivos GIS, las tablas de simulaciones lumínicas en archivo editable</w:t>
      </w:r>
    </w:p>
    <w:p w14:paraId="0A1272C6" w14:textId="5CC21DCE" w:rsidR="00AE78D8" w:rsidRPr="00B5206B" w:rsidRDefault="00AE78D8" w:rsidP="00E1521D">
      <w:pPr>
        <w:jc w:val="both"/>
        <w:rPr>
          <w:b/>
          <w:bCs/>
          <w:u w:val="single"/>
        </w:rPr>
      </w:pPr>
    </w:p>
    <w:p w14:paraId="3D19F60D" w14:textId="77777777" w:rsidR="00200170" w:rsidRPr="009F626B" w:rsidRDefault="00200170" w:rsidP="00E1521D">
      <w:pPr>
        <w:jc w:val="both"/>
        <w:rPr>
          <w:u w:val="single"/>
        </w:rPr>
      </w:pPr>
    </w:p>
    <w:p w14:paraId="28012C36" w14:textId="77777777" w:rsidR="00200170" w:rsidRPr="009F626B" w:rsidRDefault="00200170" w:rsidP="00E1521D">
      <w:pPr>
        <w:jc w:val="both"/>
        <w:rPr>
          <w:u w:val="single"/>
        </w:rPr>
      </w:pPr>
    </w:p>
    <w:p w14:paraId="26A86188" w14:textId="77777777" w:rsidR="00200170" w:rsidRDefault="00200170" w:rsidP="00E1521D">
      <w:pPr>
        <w:pStyle w:val="Prrafodelista"/>
        <w:jc w:val="both"/>
        <w:rPr>
          <w:u w:val="single"/>
        </w:rPr>
      </w:pPr>
      <w:r w:rsidRPr="00BA62EE">
        <w:rPr>
          <w:u w:val="single"/>
        </w:rPr>
        <w:tab/>
      </w:r>
      <w:r w:rsidRPr="00BA62EE">
        <w:rPr>
          <w:u w:val="single"/>
        </w:rPr>
        <w:tab/>
      </w:r>
    </w:p>
    <w:p w14:paraId="789DF52A" w14:textId="642A422C" w:rsidR="00891530" w:rsidRDefault="00891530" w:rsidP="00E1521D">
      <w:pPr>
        <w:spacing w:after="160" w:line="278" w:lineRule="auto"/>
        <w:jc w:val="both"/>
        <w:rPr>
          <w:u w:val="single"/>
        </w:rPr>
      </w:pPr>
      <w:r>
        <w:rPr>
          <w:u w:val="single"/>
        </w:rPr>
        <w:br w:type="page"/>
      </w:r>
    </w:p>
    <w:p w14:paraId="6812A01A" w14:textId="42EC0866" w:rsidR="00A47760" w:rsidRPr="001C487A" w:rsidRDefault="000C783F" w:rsidP="00E1521D">
      <w:pPr>
        <w:pStyle w:val="Prrafodelista"/>
        <w:shd w:val="clear" w:color="auto" w:fill="FFFF00"/>
        <w:jc w:val="both"/>
        <w:rPr>
          <w:b/>
          <w:bCs/>
          <w:u w:val="single"/>
        </w:rPr>
      </w:pPr>
      <w:r w:rsidRPr="001C487A">
        <w:rPr>
          <w:b/>
          <w:bCs/>
          <w:u w:val="single"/>
        </w:rPr>
        <w:lastRenderedPageBreak/>
        <w:t>PREGUNTAS RECIBIDAS POST SESIÓN DE TRABAJO:</w:t>
      </w:r>
    </w:p>
    <w:p w14:paraId="1A8D199D" w14:textId="77777777" w:rsidR="00380237" w:rsidRDefault="00380237" w:rsidP="00E1521D">
      <w:pPr>
        <w:pStyle w:val="Prrafodelista"/>
        <w:jc w:val="both"/>
        <w:rPr>
          <w:u w:val="single"/>
        </w:rPr>
      </w:pPr>
    </w:p>
    <w:p w14:paraId="3D9E1E35" w14:textId="49CDD8E1" w:rsidR="00380237" w:rsidRPr="00380237" w:rsidRDefault="00867417" w:rsidP="00E1521D">
      <w:pPr>
        <w:pStyle w:val="Prrafodelista"/>
        <w:shd w:val="clear" w:color="auto" w:fill="E8E8E8" w:themeFill="background2"/>
        <w:jc w:val="both"/>
        <w:rPr>
          <w:rFonts w:ascii="Cambria" w:hAnsi="Cambria"/>
          <w:b/>
          <w:bCs/>
        </w:rPr>
      </w:pPr>
      <w:r>
        <w:rPr>
          <w:rFonts w:ascii="Cambria" w:hAnsi="Cambria"/>
          <w:b/>
          <w:bCs/>
        </w:rPr>
        <w:t xml:space="preserve">Consulta 28. </w:t>
      </w:r>
      <w:r w:rsidR="00380237" w:rsidRPr="00380237">
        <w:rPr>
          <w:rFonts w:ascii="Cambria" w:hAnsi="Cambria"/>
          <w:b/>
          <w:bCs/>
        </w:rPr>
        <w:t xml:space="preserve">Experiencia en ejecución de proyectos de referencia comparable que incluyan suministro e instalación de nodos en una ciudad/red en operación, desde 2009 hasta 2024, donde el oferente haya actuado como contratista principal. 7 6 5 4 Medio de verificación: Certificaciones y/o contratos de la totalidad de los proyectos realizados desde el año 2009 hasta el año 2024. (ver párrafo debajo). &gt;500,000 nodos en una ciudad/red, en operación. &gt;350,000 &lt;= 500,000 nodos en una ciudad/red, en operación. &gt;250,000 &lt;= 350,000 nodos en una ciudad/red, en operación. =250,000 nodos en una ciudad/red, en operación. 2 </w:t>
      </w:r>
      <w:proofErr w:type="gramStart"/>
      <w:r w:rsidR="00380237" w:rsidRPr="00380237">
        <w:rPr>
          <w:rFonts w:ascii="Cambria" w:hAnsi="Cambria"/>
          <w:b/>
          <w:bCs/>
        </w:rPr>
        <w:t>Experiencia</w:t>
      </w:r>
      <w:proofErr w:type="gramEnd"/>
      <w:r w:rsidR="00380237" w:rsidRPr="00380237">
        <w:rPr>
          <w:rFonts w:ascii="Cambria" w:hAnsi="Cambria"/>
          <w:b/>
          <w:bCs/>
        </w:rPr>
        <w:t xml:space="preserve"> en ejecución de proyectos de referencia comparable que incluyan suministro e instalación de nodos en una ciudad/red en operación, en países de Latinoamérica, desde 2009 hasta 2024, donde el oferente haya actuado como contratista principal. 1 0.75 0.50 0.25 Medio de verificación: Certificaciones y/o contratos de la totalidad de los proyectos realizados desde el año 2009 hasta el año 2024. (ver párrafo debajo). &gt;100,000 nodos en una ciudad/red, en operación. &gt;75,000 y &lt;= 100,000 nodos en una ciudad/red, en operación. &gt;50,000 y &lt;= 75,000 nodos en una ciudad/red, en operación. =50,000 nodos en una ciudad/red, en operación. </w:t>
      </w:r>
      <w:proofErr w:type="gramStart"/>
      <w:r w:rsidR="00380237" w:rsidRPr="00380237">
        <w:rPr>
          <w:rFonts w:ascii="Cambria" w:hAnsi="Cambria"/>
          <w:b/>
          <w:bCs/>
        </w:rPr>
        <w:t>Total</w:t>
      </w:r>
      <w:proofErr w:type="gramEnd"/>
      <w:r w:rsidR="00380237" w:rsidRPr="00380237">
        <w:rPr>
          <w:rFonts w:ascii="Cambria" w:hAnsi="Cambria"/>
          <w:b/>
          <w:bCs/>
        </w:rPr>
        <w:t xml:space="preserve"> Puntuación 8 El nivel “  </w:t>
      </w:r>
    </w:p>
    <w:p w14:paraId="75F9BB35" w14:textId="77777777" w:rsidR="00380237" w:rsidRPr="00380237" w:rsidRDefault="00380237" w:rsidP="00E1521D">
      <w:pPr>
        <w:pStyle w:val="Prrafodelista"/>
        <w:shd w:val="clear" w:color="auto" w:fill="E8E8E8" w:themeFill="background2"/>
        <w:jc w:val="both"/>
        <w:rPr>
          <w:rFonts w:ascii="Cambria" w:hAnsi="Cambria"/>
          <w:b/>
          <w:bCs/>
        </w:rPr>
      </w:pPr>
    </w:p>
    <w:p w14:paraId="088FC5EF" w14:textId="77777777" w:rsidR="00380237" w:rsidRPr="00380237" w:rsidRDefault="00380237" w:rsidP="00E1521D">
      <w:pPr>
        <w:pStyle w:val="Prrafodelista"/>
        <w:shd w:val="clear" w:color="auto" w:fill="E8E8E8" w:themeFill="background2"/>
        <w:jc w:val="both"/>
        <w:rPr>
          <w:rFonts w:ascii="Cambria" w:hAnsi="Cambria"/>
          <w:b/>
          <w:bCs/>
        </w:rPr>
      </w:pPr>
      <w:r w:rsidRPr="00380237">
        <w:rPr>
          <w:rFonts w:ascii="Cambria" w:hAnsi="Cambria"/>
          <w:b/>
          <w:bCs/>
        </w:rPr>
        <w:t xml:space="preserve">Prácticamente con 8 puntos de ventaja </w:t>
      </w:r>
      <w:proofErr w:type="spellStart"/>
      <w:r w:rsidRPr="00380237">
        <w:rPr>
          <w:rFonts w:ascii="Cambria" w:hAnsi="Cambria"/>
          <w:b/>
          <w:bCs/>
        </w:rPr>
        <w:t>Citelum</w:t>
      </w:r>
      <w:proofErr w:type="spellEnd"/>
      <w:r w:rsidRPr="00380237">
        <w:rPr>
          <w:rFonts w:ascii="Cambria" w:hAnsi="Cambria"/>
          <w:b/>
          <w:bCs/>
        </w:rPr>
        <w:t>/</w:t>
      </w:r>
      <w:proofErr w:type="spellStart"/>
      <w:r w:rsidRPr="00380237">
        <w:rPr>
          <w:rFonts w:ascii="Cambria" w:hAnsi="Cambria"/>
          <w:b/>
          <w:bCs/>
        </w:rPr>
        <w:t>signify</w:t>
      </w:r>
      <w:proofErr w:type="spellEnd"/>
      <w:r w:rsidRPr="00380237">
        <w:rPr>
          <w:rFonts w:ascii="Cambria" w:hAnsi="Cambria"/>
          <w:b/>
          <w:bCs/>
        </w:rPr>
        <w:t xml:space="preserve"> tendrían ganada la licitación contra cualquier otro </w:t>
      </w:r>
      <w:proofErr w:type="gramStart"/>
      <w:r w:rsidRPr="00380237">
        <w:rPr>
          <w:rFonts w:ascii="Cambria" w:hAnsi="Cambria"/>
          <w:b/>
          <w:bCs/>
        </w:rPr>
        <w:t>competidor .</w:t>
      </w:r>
      <w:proofErr w:type="gramEnd"/>
      <w:r w:rsidRPr="00380237">
        <w:rPr>
          <w:rFonts w:ascii="Cambria" w:hAnsi="Cambria"/>
          <w:b/>
          <w:bCs/>
        </w:rPr>
        <w:t>  porque muy pocas empresas cumplen con ese criterio.</w:t>
      </w:r>
    </w:p>
    <w:p w14:paraId="0EA92809" w14:textId="77777777" w:rsidR="00380237" w:rsidRPr="00380237" w:rsidRDefault="00380237" w:rsidP="00E1521D">
      <w:pPr>
        <w:pStyle w:val="Prrafodelista"/>
        <w:shd w:val="clear" w:color="auto" w:fill="E8E8E8" w:themeFill="background2"/>
        <w:jc w:val="both"/>
        <w:rPr>
          <w:rFonts w:ascii="Cambria" w:hAnsi="Cambria"/>
          <w:b/>
          <w:bCs/>
        </w:rPr>
      </w:pPr>
    </w:p>
    <w:p w14:paraId="0A719C51" w14:textId="509D7386" w:rsidR="00380237" w:rsidRPr="00380237" w:rsidRDefault="00380237" w:rsidP="00E1521D">
      <w:pPr>
        <w:pStyle w:val="Prrafodelista"/>
        <w:shd w:val="clear" w:color="auto" w:fill="E8E8E8" w:themeFill="background2"/>
        <w:jc w:val="both"/>
        <w:rPr>
          <w:rFonts w:ascii="Cambria" w:hAnsi="Cambria"/>
          <w:b/>
          <w:bCs/>
        </w:rPr>
      </w:pPr>
      <w:r w:rsidRPr="00380237">
        <w:rPr>
          <w:rFonts w:ascii="Cambria" w:hAnsi="Cambria"/>
          <w:b/>
          <w:bCs/>
        </w:rPr>
        <w:t>Suavizar los requisitos para que otras empresas puedan competir en igualdad de condiciones </w:t>
      </w:r>
    </w:p>
    <w:p w14:paraId="26B6D009" w14:textId="77777777" w:rsidR="001F0A1A" w:rsidRDefault="001F0A1A" w:rsidP="00E1521D">
      <w:pPr>
        <w:jc w:val="both"/>
        <w:rPr>
          <w:rFonts w:ascii="Cambria" w:hAnsi="Cambria"/>
          <w:color w:val="275317" w:themeColor="accent6" w:themeShade="80"/>
        </w:rPr>
      </w:pPr>
    </w:p>
    <w:p w14:paraId="4E57A463" w14:textId="77777777" w:rsidR="001F0A1A" w:rsidRPr="00FF1420" w:rsidRDefault="001F0A1A" w:rsidP="001F0A1A">
      <w:pPr>
        <w:jc w:val="both"/>
        <w:rPr>
          <w:rFonts w:ascii="Cambria" w:hAnsi="Cambria"/>
          <w:b/>
          <w:bCs/>
          <w:highlight w:val="green"/>
        </w:rPr>
      </w:pPr>
      <w:r w:rsidRPr="00FF1420">
        <w:rPr>
          <w:rFonts w:ascii="Cambria" w:hAnsi="Cambria"/>
          <w:b/>
          <w:bCs/>
          <w:highlight w:val="green"/>
        </w:rPr>
        <w:t xml:space="preserve">Respuesta: </w:t>
      </w:r>
    </w:p>
    <w:p w14:paraId="134A4FDF" w14:textId="77777777" w:rsidR="001F0A1A" w:rsidRPr="009F626B" w:rsidRDefault="001F0A1A" w:rsidP="001F0A1A">
      <w:pPr>
        <w:jc w:val="both"/>
        <w:rPr>
          <w:u w:val="single"/>
        </w:rPr>
      </w:pPr>
      <w:r>
        <w:rPr>
          <w:rFonts w:ascii="Cambria" w:hAnsi="Cambria"/>
          <w:color w:val="275317" w:themeColor="accent6" w:themeShade="80"/>
        </w:rPr>
        <w:t>Se exige el número de luminaria correspondiente a cada lote.</w:t>
      </w:r>
    </w:p>
    <w:p w14:paraId="723FD9FC" w14:textId="77777777" w:rsidR="00D97D3D" w:rsidRDefault="00D97D3D" w:rsidP="00E1521D">
      <w:pPr>
        <w:pStyle w:val="Prrafodelista"/>
        <w:jc w:val="both"/>
        <w:rPr>
          <w:rFonts w:ascii="Cambria" w:hAnsi="Cambria"/>
          <w:b/>
          <w:bCs/>
        </w:rPr>
      </w:pPr>
    </w:p>
    <w:p w14:paraId="4FB66DB5" w14:textId="77777777" w:rsidR="00D97D3D" w:rsidRPr="001F0A1A" w:rsidRDefault="00D97D3D" w:rsidP="00E1521D">
      <w:pPr>
        <w:pStyle w:val="Prrafodelista"/>
        <w:shd w:val="clear" w:color="auto" w:fill="E8E8E8" w:themeFill="background2"/>
        <w:jc w:val="both"/>
        <w:rPr>
          <w:rFonts w:ascii="Cambria" w:hAnsi="Cambria"/>
          <w:b/>
          <w:bCs/>
        </w:rPr>
      </w:pPr>
      <w:r w:rsidRPr="001F0A1A">
        <w:rPr>
          <w:rFonts w:ascii="Cambria" w:hAnsi="Cambria"/>
          <w:b/>
          <w:bCs/>
        </w:rPr>
        <w:t xml:space="preserve">Consulta </w:t>
      </w:r>
      <w:proofErr w:type="spellStart"/>
      <w:proofErr w:type="gramStart"/>
      <w:r w:rsidRPr="001F0A1A">
        <w:rPr>
          <w:rFonts w:ascii="Cambria" w:hAnsi="Cambria"/>
          <w:b/>
          <w:bCs/>
        </w:rPr>
        <w:t>No.xx</w:t>
      </w:r>
      <w:proofErr w:type="spellEnd"/>
      <w:proofErr w:type="gramEnd"/>
      <w:r w:rsidRPr="001F0A1A">
        <w:rPr>
          <w:rFonts w:ascii="Cambria" w:hAnsi="Cambria"/>
          <w:b/>
          <w:bCs/>
        </w:rPr>
        <w:t xml:space="preserve"> Favor validar que el texto "Dicho plan deberá contener como mínimo: planificación de desvíos, medidas de seguridad vial, señalización, estrategia de comunicación, plan de contingencias, mecanismos de monitoreo, así como la definición de recursos y responsabilidades" de la página 97, sección 7. Plan de Gestión Ambiental realmente corresponde a la sección 8. Plan de Manejo de Circulación Vial. </w:t>
      </w:r>
    </w:p>
    <w:p w14:paraId="41E5D970" w14:textId="77777777" w:rsidR="001F0A1A" w:rsidRPr="001F0A1A" w:rsidRDefault="001F0A1A" w:rsidP="001F0A1A">
      <w:pPr>
        <w:jc w:val="both"/>
        <w:rPr>
          <w:rFonts w:ascii="Cambria" w:hAnsi="Cambria"/>
          <w:color w:val="275317" w:themeColor="accent6" w:themeShade="80"/>
        </w:rPr>
      </w:pPr>
    </w:p>
    <w:p w14:paraId="7E456F0B" w14:textId="29F1F236" w:rsidR="00D97D3D" w:rsidRPr="00044E87" w:rsidRDefault="00D97D3D" w:rsidP="001F0A1A">
      <w:pPr>
        <w:jc w:val="both"/>
        <w:rPr>
          <w:rFonts w:ascii="Cambria" w:hAnsi="Cambria"/>
          <w:color w:val="275317" w:themeColor="accent6" w:themeShade="80"/>
          <w:highlight w:val="yellow"/>
        </w:rPr>
      </w:pPr>
      <w:r w:rsidRPr="00044E87">
        <w:rPr>
          <w:rFonts w:ascii="Cambria" w:hAnsi="Cambria"/>
          <w:color w:val="275317" w:themeColor="accent6" w:themeShade="80"/>
          <w:highlight w:val="yellow"/>
        </w:rPr>
        <w:t>Respuesta:</w:t>
      </w:r>
    </w:p>
    <w:p w14:paraId="55006595" w14:textId="155793CF" w:rsidR="00D97D3D" w:rsidRPr="001F0A1A" w:rsidRDefault="00044E87" w:rsidP="001F0A1A">
      <w:pPr>
        <w:jc w:val="both"/>
        <w:rPr>
          <w:rFonts w:ascii="Cambria" w:hAnsi="Cambria"/>
          <w:color w:val="275317" w:themeColor="accent6" w:themeShade="80"/>
        </w:rPr>
      </w:pPr>
      <w:r w:rsidRPr="00044E87">
        <w:rPr>
          <w:rFonts w:ascii="Cambria" w:hAnsi="Cambria"/>
          <w:color w:val="275317" w:themeColor="accent6" w:themeShade="80"/>
          <w:highlight w:val="yellow"/>
        </w:rPr>
        <w:t>L</w:t>
      </w:r>
      <w:r w:rsidR="001F0A1A" w:rsidRPr="00044E87">
        <w:rPr>
          <w:rFonts w:ascii="Cambria" w:hAnsi="Cambria"/>
          <w:color w:val="275317" w:themeColor="accent6" w:themeShade="80"/>
          <w:highlight w:val="yellow"/>
        </w:rPr>
        <w:t xml:space="preserve">a especialista en Adquisiciones debe consultar con el especialista </w:t>
      </w:r>
      <w:r w:rsidRPr="00044E87">
        <w:rPr>
          <w:rFonts w:ascii="Cambria" w:hAnsi="Cambria"/>
          <w:color w:val="275317" w:themeColor="accent6" w:themeShade="80"/>
          <w:highlight w:val="yellow"/>
        </w:rPr>
        <w:t>de seguridad y medio ambiente.</w:t>
      </w:r>
    </w:p>
    <w:p w14:paraId="15142469" w14:textId="77777777" w:rsidR="00D97D3D" w:rsidRDefault="00D97D3D" w:rsidP="00E1521D">
      <w:pPr>
        <w:pStyle w:val="Prrafodelista"/>
        <w:shd w:val="clear" w:color="auto" w:fill="FFFFFF" w:themeFill="background1"/>
        <w:jc w:val="both"/>
        <w:rPr>
          <w:b/>
          <w:bCs/>
        </w:rPr>
      </w:pPr>
    </w:p>
    <w:p w14:paraId="77CF7478" w14:textId="77777777" w:rsidR="00D97D3D" w:rsidRDefault="00D97D3D" w:rsidP="00E1521D">
      <w:pPr>
        <w:pStyle w:val="Prrafodelista"/>
        <w:shd w:val="clear" w:color="auto" w:fill="FFFFFF" w:themeFill="background1"/>
        <w:jc w:val="both"/>
        <w:rPr>
          <w:b/>
          <w:bCs/>
        </w:rPr>
      </w:pPr>
    </w:p>
    <w:p w14:paraId="0C5E9D64" w14:textId="77777777" w:rsidR="00D97D3D" w:rsidRPr="00044E87" w:rsidRDefault="00D97D3D" w:rsidP="00044E87">
      <w:pPr>
        <w:shd w:val="clear" w:color="auto" w:fill="E8E8E8" w:themeFill="background2"/>
        <w:jc w:val="both"/>
        <w:rPr>
          <w:rFonts w:ascii="Cambria" w:hAnsi="Cambria"/>
          <w:b/>
          <w:bCs/>
        </w:rPr>
      </w:pPr>
      <w:r w:rsidRPr="00044E87">
        <w:rPr>
          <w:rFonts w:ascii="Cambria" w:hAnsi="Cambria"/>
          <w:b/>
          <w:bCs/>
        </w:rPr>
        <w:lastRenderedPageBreak/>
        <w:t xml:space="preserve">2- Se menciona que la garantía de funcionamiento no aplica, por favor indicar lo mismo en el formulario GARANTIAS DE FUNCIONAMIENTO FORMULARIO FUNC: "No aplica" </w:t>
      </w:r>
    </w:p>
    <w:p w14:paraId="35AF727A" w14:textId="77777777" w:rsidR="00044E87" w:rsidRDefault="00044E87" w:rsidP="00044E87">
      <w:pPr>
        <w:jc w:val="both"/>
        <w:rPr>
          <w:b/>
          <w:bCs/>
        </w:rPr>
      </w:pPr>
    </w:p>
    <w:p w14:paraId="6B50ACBC" w14:textId="05AC1507" w:rsidR="00D97D3D" w:rsidRPr="00044E87" w:rsidRDefault="00D97D3D" w:rsidP="00044E87">
      <w:pPr>
        <w:jc w:val="both"/>
        <w:rPr>
          <w:b/>
          <w:bCs/>
        </w:rPr>
      </w:pPr>
      <w:r w:rsidRPr="00044E87">
        <w:rPr>
          <w:b/>
          <w:bCs/>
        </w:rPr>
        <w:t>Respuesta:</w:t>
      </w:r>
    </w:p>
    <w:p w14:paraId="09311657" w14:textId="3BD2163E" w:rsidR="00891530" w:rsidRPr="00044E87" w:rsidRDefault="00044E87" w:rsidP="00044E87">
      <w:pPr>
        <w:jc w:val="both"/>
        <w:rPr>
          <w:color w:val="275317" w:themeColor="accent6" w:themeShade="80"/>
        </w:rPr>
      </w:pPr>
      <w:r>
        <w:rPr>
          <w:color w:val="275317" w:themeColor="accent6" w:themeShade="80"/>
        </w:rPr>
        <w:t xml:space="preserve">Las EDE </w:t>
      </w:r>
      <w:r w:rsidRPr="00044E87">
        <w:rPr>
          <w:color w:val="275317" w:themeColor="accent6" w:themeShade="80"/>
        </w:rPr>
        <w:t>sugiere</w:t>
      </w:r>
      <w:r w:rsidR="009A1331" w:rsidRPr="00044E87">
        <w:rPr>
          <w:color w:val="275317" w:themeColor="accent6" w:themeShade="80"/>
        </w:rPr>
        <w:t xml:space="preserve"> incluir el requerimiento de las Garantías de Funcionamiento</w:t>
      </w:r>
      <w:r w:rsidR="00C64E47" w:rsidRPr="00044E87">
        <w:rPr>
          <w:color w:val="275317" w:themeColor="accent6" w:themeShade="80"/>
        </w:rPr>
        <w:t xml:space="preserve"> de forma que se cuente con un documento que respalde la adhesión de la ejecución del proyecto al modelo lumínico aprobado.</w:t>
      </w:r>
      <w:r>
        <w:rPr>
          <w:color w:val="275317" w:themeColor="accent6" w:themeShade="80"/>
        </w:rPr>
        <w:t xml:space="preserve"> </w:t>
      </w:r>
      <w:r w:rsidRPr="00044E87">
        <w:rPr>
          <w:color w:val="275317" w:themeColor="accent6" w:themeShade="80"/>
          <w:highlight w:val="yellow"/>
        </w:rPr>
        <w:t xml:space="preserve">(esto debe ser visto por el coordinador general de </w:t>
      </w:r>
      <w:proofErr w:type="spellStart"/>
      <w:r w:rsidRPr="00044E87">
        <w:rPr>
          <w:color w:val="275317" w:themeColor="accent6" w:themeShade="80"/>
          <w:highlight w:val="yellow"/>
        </w:rPr>
        <w:t>uep</w:t>
      </w:r>
      <w:proofErr w:type="spellEnd"/>
      <w:r w:rsidRPr="00044E87">
        <w:rPr>
          <w:color w:val="275317" w:themeColor="accent6" w:themeShade="80"/>
          <w:highlight w:val="yellow"/>
        </w:rPr>
        <w:t>).</w:t>
      </w:r>
    </w:p>
    <w:p w14:paraId="77D3412B" w14:textId="77777777" w:rsidR="00D97D3D" w:rsidRDefault="00D97D3D" w:rsidP="00E1521D">
      <w:pPr>
        <w:pStyle w:val="Prrafodelista"/>
        <w:shd w:val="clear" w:color="auto" w:fill="FFFFFF" w:themeFill="background1"/>
        <w:jc w:val="both"/>
        <w:rPr>
          <w:b/>
          <w:bCs/>
        </w:rPr>
      </w:pPr>
    </w:p>
    <w:p w14:paraId="5F3F4200" w14:textId="77777777" w:rsidR="00D97D3D" w:rsidRDefault="00D97D3D" w:rsidP="00E1521D">
      <w:pPr>
        <w:pStyle w:val="Prrafodelista"/>
        <w:shd w:val="clear" w:color="auto" w:fill="FFFFFF" w:themeFill="background1"/>
        <w:jc w:val="both"/>
        <w:rPr>
          <w:b/>
          <w:bCs/>
        </w:rPr>
      </w:pPr>
    </w:p>
    <w:p w14:paraId="7AE6F132" w14:textId="77777777" w:rsidR="00D97D3D" w:rsidRPr="00044E87" w:rsidRDefault="00D97D3D" w:rsidP="00044E87">
      <w:pPr>
        <w:shd w:val="clear" w:color="auto" w:fill="E8E8E8" w:themeFill="background2"/>
        <w:jc w:val="both"/>
        <w:rPr>
          <w:rFonts w:ascii="Cambria" w:hAnsi="Cambria"/>
          <w:b/>
          <w:bCs/>
        </w:rPr>
      </w:pPr>
      <w:r w:rsidRPr="00044E87">
        <w:rPr>
          <w:rFonts w:ascii="Cambria" w:hAnsi="Cambria"/>
          <w:b/>
          <w:bCs/>
        </w:rPr>
        <w:t xml:space="preserve">3- ¿Es posible indicar la duración mínima de la batería en termino de horas, desde el corte circuito? </w:t>
      </w:r>
    </w:p>
    <w:p w14:paraId="50F9CB53" w14:textId="77777777" w:rsidR="00044E87" w:rsidRDefault="00044E87" w:rsidP="00E1521D">
      <w:pPr>
        <w:pStyle w:val="Prrafodelista"/>
        <w:shd w:val="clear" w:color="auto" w:fill="FFFFFF" w:themeFill="background1"/>
        <w:jc w:val="both"/>
        <w:rPr>
          <w:b/>
          <w:bCs/>
        </w:rPr>
      </w:pPr>
    </w:p>
    <w:p w14:paraId="03AC052E" w14:textId="26C7905B" w:rsidR="00D97D3D" w:rsidRPr="00044E87" w:rsidRDefault="00D97D3D" w:rsidP="00044E87">
      <w:pPr>
        <w:shd w:val="clear" w:color="auto" w:fill="FFFFFF" w:themeFill="background1"/>
        <w:jc w:val="both"/>
        <w:rPr>
          <w:b/>
          <w:bCs/>
        </w:rPr>
      </w:pPr>
      <w:r w:rsidRPr="00044E87">
        <w:rPr>
          <w:b/>
          <w:bCs/>
        </w:rPr>
        <w:t>Respuesta:</w:t>
      </w:r>
    </w:p>
    <w:p w14:paraId="46845DD5" w14:textId="77777777" w:rsidR="00BC4168" w:rsidRPr="006B76E4" w:rsidRDefault="00BC4168" w:rsidP="00E1521D">
      <w:pPr>
        <w:jc w:val="both"/>
        <w:rPr>
          <w:u w:val="single"/>
        </w:rPr>
      </w:pPr>
      <w:r>
        <w:rPr>
          <w:color w:val="275317" w:themeColor="accent6" w:themeShade="80"/>
        </w:rPr>
        <w:t>No se exige ningún requerimiento de autonomía. Las luminarias con baterías de emergencias cumplirán la función de proporcionar el servicio mínimo de alumbrado frente a cortes del suministro eléctrico. Es por ello que se configuraran para proporcionar el mayor número de horas de autonomía, dependiendo de la potencia de las luminarias y el régimen de funcionamiento de la misma.</w:t>
      </w:r>
    </w:p>
    <w:p w14:paraId="5F107D22" w14:textId="77777777" w:rsidR="00BC4168" w:rsidRDefault="00BC4168" w:rsidP="00E1521D">
      <w:pPr>
        <w:pStyle w:val="Prrafodelista"/>
        <w:jc w:val="both"/>
        <w:rPr>
          <w:u w:val="single"/>
        </w:rPr>
      </w:pPr>
    </w:p>
    <w:p w14:paraId="08496B74" w14:textId="77777777" w:rsidR="00D97D3D" w:rsidRDefault="00D97D3D" w:rsidP="00E1521D">
      <w:pPr>
        <w:pStyle w:val="Prrafodelista"/>
        <w:shd w:val="clear" w:color="auto" w:fill="FFFFFF" w:themeFill="background1"/>
        <w:jc w:val="both"/>
        <w:rPr>
          <w:b/>
          <w:bCs/>
        </w:rPr>
      </w:pPr>
    </w:p>
    <w:p w14:paraId="1EBFAFA6" w14:textId="77777777" w:rsidR="00D97D3D" w:rsidRPr="00044E87" w:rsidRDefault="00D97D3D" w:rsidP="00044E87">
      <w:pPr>
        <w:shd w:val="clear" w:color="auto" w:fill="E8E8E8" w:themeFill="background2"/>
        <w:jc w:val="both"/>
        <w:rPr>
          <w:rFonts w:ascii="Cambria" w:hAnsi="Cambria"/>
          <w:b/>
          <w:bCs/>
        </w:rPr>
      </w:pPr>
      <w:r w:rsidRPr="00044E87">
        <w:rPr>
          <w:rFonts w:ascii="Cambria" w:hAnsi="Cambria"/>
          <w:b/>
          <w:bCs/>
        </w:rPr>
        <w:t xml:space="preserve">4- ¿Las luminarias con batería deben funcionar al 100% de su potencia durante todo el tiempo del corte de electricidad? </w:t>
      </w:r>
    </w:p>
    <w:p w14:paraId="280F8BC2" w14:textId="77777777" w:rsidR="00044E87" w:rsidRDefault="00044E87" w:rsidP="00E1521D">
      <w:pPr>
        <w:pStyle w:val="Prrafodelista"/>
        <w:shd w:val="clear" w:color="auto" w:fill="FFFFFF" w:themeFill="background1"/>
        <w:jc w:val="both"/>
        <w:rPr>
          <w:b/>
          <w:bCs/>
        </w:rPr>
      </w:pPr>
    </w:p>
    <w:p w14:paraId="723D381B" w14:textId="19FA07F2" w:rsidR="00D97D3D" w:rsidRPr="00044E87" w:rsidRDefault="00D97D3D" w:rsidP="00044E87">
      <w:pPr>
        <w:shd w:val="clear" w:color="auto" w:fill="FFFFFF" w:themeFill="background1"/>
        <w:jc w:val="both"/>
        <w:rPr>
          <w:b/>
          <w:bCs/>
        </w:rPr>
      </w:pPr>
      <w:r w:rsidRPr="00044E87">
        <w:rPr>
          <w:b/>
          <w:bCs/>
        </w:rPr>
        <w:t>Respuesta:</w:t>
      </w:r>
    </w:p>
    <w:p w14:paraId="169D6981" w14:textId="77777777" w:rsidR="00BC4168" w:rsidRPr="006B76E4" w:rsidRDefault="00BC4168" w:rsidP="00E1521D">
      <w:pPr>
        <w:jc w:val="both"/>
        <w:rPr>
          <w:u w:val="single"/>
        </w:rPr>
      </w:pPr>
      <w:r>
        <w:rPr>
          <w:color w:val="275317" w:themeColor="accent6" w:themeShade="80"/>
        </w:rPr>
        <w:t>No se exige ningún requerimiento de autonomía. Las luminarias con baterías de emergencias cumplirán la función de proporcionar el servicio mínimo de alumbrado frente a cortes del suministro eléctrico. Es por ello que se configuraran para proporcionar el mayor número de horas de autonomía, dependiendo de la potencia de las luminarias y el régimen de funcionamiento de la misma.</w:t>
      </w:r>
    </w:p>
    <w:p w14:paraId="2FE53FC6" w14:textId="77777777" w:rsidR="00BC4168" w:rsidRDefault="00BC4168" w:rsidP="00E1521D">
      <w:pPr>
        <w:pStyle w:val="Prrafodelista"/>
        <w:jc w:val="both"/>
        <w:rPr>
          <w:u w:val="single"/>
        </w:rPr>
      </w:pPr>
    </w:p>
    <w:p w14:paraId="496CE941" w14:textId="77777777" w:rsidR="00D97D3D" w:rsidRDefault="00D97D3D" w:rsidP="00E1521D">
      <w:pPr>
        <w:pStyle w:val="Prrafodelista"/>
        <w:shd w:val="clear" w:color="auto" w:fill="FFFFFF" w:themeFill="background1"/>
        <w:jc w:val="both"/>
        <w:rPr>
          <w:b/>
          <w:bCs/>
        </w:rPr>
      </w:pPr>
    </w:p>
    <w:p w14:paraId="3F62236F" w14:textId="3AC2420E" w:rsidR="00D97D3D" w:rsidRPr="00044E87" w:rsidRDefault="00D97D3D" w:rsidP="00044E87">
      <w:pPr>
        <w:shd w:val="clear" w:color="auto" w:fill="E8E8E8" w:themeFill="background2"/>
        <w:jc w:val="both"/>
        <w:rPr>
          <w:rFonts w:ascii="Cambria" w:hAnsi="Cambria"/>
          <w:b/>
          <w:bCs/>
        </w:rPr>
      </w:pPr>
      <w:r w:rsidRPr="00044E87">
        <w:rPr>
          <w:rFonts w:ascii="Cambria" w:hAnsi="Cambria"/>
          <w:b/>
          <w:bCs/>
        </w:rPr>
        <w:t xml:space="preserve">5- Se indica que el flujo debe ser ≥ 11700 lúmenes, favor indicar si es a la salida de los </w:t>
      </w:r>
      <w:proofErr w:type="spellStart"/>
      <w:r w:rsidRPr="00044E87">
        <w:rPr>
          <w:rFonts w:ascii="Cambria" w:hAnsi="Cambria"/>
          <w:b/>
          <w:bCs/>
        </w:rPr>
        <w:t>LED's</w:t>
      </w:r>
      <w:proofErr w:type="spellEnd"/>
      <w:r w:rsidRPr="00044E87">
        <w:rPr>
          <w:rFonts w:ascii="Cambria" w:hAnsi="Cambria"/>
          <w:b/>
          <w:bCs/>
        </w:rPr>
        <w:t xml:space="preserve"> o después del vidrio templado.</w:t>
      </w:r>
    </w:p>
    <w:p w14:paraId="1BC2AD85" w14:textId="77777777" w:rsidR="00044E87" w:rsidRDefault="00044E87" w:rsidP="00044E87">
      <w:pPr>
        <w:shd w:val="clear" w:color="auto" w:fill="FFFFFF" w:themeFill="background1"/>
        <w:jc w:val="both"/>
        <w:rPr>
          <w:b/>
          <w:bCs/>
        </w:rPr>
      </w:pPr>
    </w:p>
    <w:p w14:paraId="742AB759" w14:textId="77777777" w:rsidR="00667340" w:rsidRPr="00044E87" w:rsidRDefault="00667340" w:rsidP="00667340">
      <w:pPr>
        <w:shd w:val="clear" w:color="auto" w:fill="FFFFFF" w:themeFill="background1"/>
        <w:jc w:val="both"/>
        <w:rPr>
          <w:b/>
          <w:bCs/>
        </w:rPr>
      </w:pPr>
      <w:r w:rsidRPr="00044E87">
        <w:rPr>
          <w:b/>
          <w:bCs/>
          <w:highlight w:val="green"/>
        </w:rPr>
        <w:t>Respuesta:</w:t>
      </w:r>
    </w:p>
    <w:p w14:paraId="25C8B9A2" w14:textId="77777777" w:rsidR="00667340" w:rsidRPr="00667340" w:rsidRDefault="00667340" w:rsidP="00667340">
      <w:pPr>
        <w:jc w:val="both"/>
        <w:rPr>
          <w:u w:val="single"/>
        </w:rPr>
      </w:pPr>
      <w:r>
        <w:rPr>
          <w:rFonts w:ascii="Cambria" w:hAnsi="Cambria"/>
          <w:color w:val="275317" w:themeColor="accent6" w:themeShade="80"/>
        </w:rPr>
        <w:t>Se elimina la exigencia relativa al flujo luminoso ≥ 11.700lm. Se exige exclusivamente el cumplimiento de la e</w:t>
      </w:r>
      <w:r w:rsidRPr="000F1A93">
        <w:rPr>
          <w:rFonts w:ascii="Cambria" w:hAnsi="Cambria"/>
          <w:color w:val="275317" w:themeColor="accent6" w:themeShade="80"/>
        </w:rPr>
        <w:t xml:space="preserve">ficiencia lm/w </w:t>
      </w:r>
      <w:r>
        <w:rPr>
          <w:rFonts w:ascii="Cambria" w:hAnsi="Cambria"/>
          <w:color w:val="275317" w:themeColor="accent6" w:themeShade="80"/>
        </w:rPr>
        <w:t>con un valor m</w:t>
      </w:r>
      <w:r w:rsidRPr="000F1A93">
        <w:rPr>
          <w:rFonts w:ascii="Cambria" w:hAnsi="Cambria"/>
          <w:color w:val="275317" w:themeColor="accent6" w:themeShade="80"/>
        </w:rPr>
        <w:t xml:space="preserve">ínimo </w:t>
      </w:r>
      <w:r>
        <w:rPr>
          <w:rFonts w:ascii="Cambria" w:hAnsi="Cambria"/>
          <w:color w:val="275317" w:themeColor="accent6" w:themeShade="80"/>
        </w:rPr>
        <w:t>ensayado ≥150 lm/W. Los valores propuestos en la tabla de la Consulta #3 son correctos, y serán considerados en la PDGT.</w:t>
      </w:r>
    </w:p>
    <w:p w14:paraId="3C1EF3E6" w14:textId="77777777" w:rsidR="00D97D3D" w:rsidRDefault="00D97D3D" w:rsidP="00E1521D">
      <w:pPr>
        <w:pStyle w:val="Prrafodelista"/>
        <w:shd w:val="clear" w:color="auto" w:fill="FFFFFF" w:themeFill="background1"/>
        <w:jc w:val="both"/>
        <w:rPr>
          <w:rFonts w:ascii="Cambria" w:hAnsi="Cambria"/>
          <w:b/>
          <w:bCs/>
        </w:rPr>
      </w:pPr>
    </w:p>
    <w:p w14:paraId="7CBA3D1C" w14:textId="77777777" w:rsidR="00D97D3D" w:rsidRDefault="00D97D3D" w:rsidP="00E1521D">
      <w:pPr>
        <w:pStyle w:val="Prrafodelista"/>
        <w:shd w:val="clear" w:color="auto" w:fill="FFFFFF" w:themeFill="background1"/>
        <w:jc w:val="both"/>
        <w:rPr>
          <w:rFonts w:ascii="Cambria" w:hAnsi="Cambria"/>
          <w:b/>
          <w:bCs/>
        </w:rPr>
      </w:pPr>
    </w:p>
    <w:p w14:paraId="3E446603" w14:textId="13B6397B" w:rsidR="00D97D3D" w:rsidRDefault="0021371A" w:rsidP="00E1521D">
      <w:pPr>
        <w:shd w:val="clear" w:color="auto" w:fill="E8E8E8" w:themeFill="background2"/>
        <w:jc w:val="both"/>
        <w:textAlignment w:val="baseline"/>
        <w:rPr>
          <w:rFonts w:ascii="Segoe UI" w:hAnsi="Segoe UI" w:cs="Segoe UI"/>
          <w:color w:val="242424"/>
          <w:sz w:val="23"/>
          <w:szCs w:val="23"/>
        </w:rPr>
      </w:pPr>
      <w:r>
        <w:rPr>
          <w:rStyle w:val="Textoennegrita"/>
          <w:rFonts w:ascii="Segoe UI" w:eastAsiaTheme="majorEastAsia" w:hAnsi="Segoe UI" w:cs="Segoe UI"/>
          <w:color w:val="242424"/>
          <w:sz w:val="23"/>
          <w:szCs w:val="23"/>
        </w:rPr>
        <w:t xml:space="preserve">Consulta No. xx.- </w:t>
      </w:r>
      <w:r w:rsidR="00D97D3D">
        <w:rPr>
          <w:rStyle w:val="Textoennegrita"/>
          <w:rFonts w:ascii="Segoe UI" w:eastAsiaTheme="majorEastAsia" w:hAnsi="Segoe UI" w:cs="Segoe UI"/>
          <w:color w:val="242424"/>
          <w:sz w:val="23"/>
          <w:szCs w:val="23"/>
        </w:rPr>
        <w:t>Exigencia de solvencia técnica desproporcionada (Cláusula 2.4 – Requisito IAL39)</w:t>
      </w:r>
      <w:r>
        <w:rPr>
          <w:rStyle w:val="Textoennegrita"/>
          <w:rFonts w:ascii="Segoe UI" w:eastAsiaTheme="majorEastAsia" w:hAnsi="Segoe UI" w:cs="Segoe UI"/>
          <w:color w:val="242424"/>
          <w:sz w:val="23"/>
          <w:szCs w:val="23"/>
        </w:rPr>
        <w:t xml:space="preserve"> </w:t>
      </w:r>
      <w:r w:rsidR="00D97D3D">
        <w:rPr>
          <w:rFonts w:ascii="Segoe UI" w:hAnsi="Segoe UI" w:cs="Segoe UI"/>
          <w:color w:val="242424"/>
          <w:sz w:val="23"/>
          <w:szCs w:val="23"/>
        </w:rPr>
        <w:t>Hemos observado que la cláusula 2.4 del requisito de puntuación IAL39 estipula que la experiencia del licitador debe acreditarse mediante un número acumulado de luminarias instaladas superior a 250.000 unidades.</w:t>
      </w:r>
    </w:p>
    <w:p w14:paraId="610A633F"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p>
    <w:p w14:paraId="668E3FC7"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r>
        <w:rPr>
          <w:rFonts w:ascii="Segoe UI" w:hAnsi="Segoe UI" w:cs="Segoe UI"/>
          <w:color w:val="242424"/>
          <w:sz w:val="23"/>
          <w:szCs w:val="23"/>
        </w:rPr>
        <w:lastRenderedPageBreak/>
        <w:t>Esta exigencia resulta manifiestamente desproporcionada en relación con el objeto del contrato, toda vez que dicha cifra supera ampliamente el número total de luminarias correspondientes a las tres secciones actualmente objeto de licitación.</w:t>
      </w:r>
    </w:p>
    <w:p w14:paraId="7A31919A"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p>
    <w:p w14:paraId="5AABB8C1"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r>
        <w:rPr>
          <w:rFonts w:ascii="Segoe UI" w:hAnsi="Segoe UI" w:cs="Segoe UI"/>
          <w:color w:val="242424"/>
          <w:sz w:val="23"/>
          <w:szCs w:val="23"/>
        </w:rPr>
        <w:t>El establecimiento de un umbral tan elevado no solo carece de justificación objetiva en términos de capacidad técnica necesaria para la correcta ejecución del contrato, sino que además restringe de manera significativa la participación de operadores económicos, excluyendo a empresas con acreditada solvencia técnica y reconocido prestigio internacional.</w:t>
      </w:r>
    </w:p>
    <w:p w14:paraId="08DBAF0A"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p>
    <w:p w14:paraId="6ED6CDD3"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r>
        <w:rPr>
          <w:rFonts w:ascii="Segoe UI" w:hAnsi="Segoe UI" w:cs="Segoe UI"/>
          <w:color w:val="242424"/>
          <w:sz w:val="23"/>
          <w:szCs w:val="23"/>
        </w:rPr>
        <w:t>En consecuencia, esta limitación reduce artificialmente la competencia efectiva en el procedimiento, lo que podría derivar en una menor concurrencia de ofertas y, en última instancia, en condiciones económicas y técnicas menos favorables para el propio órgano de contratación.</w:t>
      </w:r>
    </w:p>
    <w:p w14:paraId="41A30486"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p>
    <w:p w14:paraId="71F0B2FE" w14:textId="159A0A6F" w:rsidR="0021371A" w:rsidRDefault="00D97D3D" w:rsidP="00E1521D">
      <w:pPr>
        <w:shd w:val="clear" w:color="auto" w:fill="E8E8E8" w:themeFill="background2"/>
        <w:jc w:val="both"/>
        <w:textAlignment w:val="baseline"/>
        <w:rPr>
          <w:rFonts w:ascii="Segoe UI" w:hAnsi="Segoe UI" w:cs="Segoe UI"/>
          <w:color w:val="242424"/>
          <w:sz w:val="23"/>
          <w:szCs w:val="23"/>
        </w:rPr>
      </w:pPr>
      <w:r>
        <w:rPr>
          <w:rFonts w:ascii="Segoe UI" w:hAnsi="Segoe UI" w:cs="Segoe UI"/>
          <w:color w:val="242424"/>
          <w:sz w:val="23"/>
          <w:szCs w:val="23"/>
        </w:rPr>
        <w:t>Por todo ello, se solicita la reconsideración de este requisito, ajustándolo a parámetros proporcionales y directamente vinculados con el objeto y dimensión real del contrato.</w:t>
      </w:r>
      <w:r w:rsidR="0021371A">
        <w:rPr>
          <w:rFonts w:ascii="Segoe UI" w:hAnsi="Segoe UI" w:cs="Segoe UI"/>
          <w:color w:val="242424"/>
          <w:sz w:val="23"/>
          <w:szCs w:val="23"/>
        </w:rPr>
        <w:t xml:space="preserve"> Se proceda a revisar y modificar la cláusula relativa al requisito de solvencia técnica (Cláusula 2.4 – IAL39), ajustándola a criterios de proporcionalidad.</w:t>
      </w:r>
    </w:p>
    <w:p w14:paraId="7EE995FF" w14:textId="77777777" w:rsidR="00044E87" w:rsidRDefault="00044E87" w:rsidP="00044E87">
      <w:pPr>
        <w:shd w:val="clear" w:color="auto" w:fill="FFFFFF" w:themeFill="background1"/>
        <w:jc w:val="both"/>
        <w:rPr>
          <w:b/>
          <w:bCs/>
        </w:rPr>
      </w:pPr>
    </w:p>
    <w:p w14:paraId="3A16D60C" w14:textId="3DB5B4E5" w:rsidR="00024FE7" w:rsidRPr="00044E87" w:rsidRDefault="00024FE7" w:rsidP="00044E87">
      <w:pPr>
        <w:shd w:val="clear" w:color="auto" w:fill="FFFFFF" w:themeFill="background1"/>
        <w:jc w:val="both"/>
        <w:rPr>
          <w:b/>
          <w:bCs/>
        </w:rPr>
      </w:pPr>
      <w:r w:rsidRPr="00044E87">
        <w:rPr>
          <w:b/>
          <w:bCs/>
        </w:rPr>
        <w:t>Respuesta:</w:t>
      </w:r>
    </w:p>
    <w:p w14:paraId="602120B5" w14:textId="43240EFE" w:rsidR="0021371A" w:rsidRDefault="00EF71BC" w:rsidP="00E1521D">
      <w:pPr>
        <w:shd w:val="clear" w:color="auto" w:fill="FFFFFF"/>
        <w:jc w:val="both"/>
        <w:textAlignment w:val="baseline"/>
        <w:rPr>
          <w:rFonts w:ascii="Segoe UI" w:hAnsi="Segoe UI" w:cs="Segoe UI"/>
          <w:color w:val="242424"/>
          <w:sz w:val="23"/>
          <w:szCs w:val="23"/>
        </w:rPr>
      </w:pPr>
      <w:r>
        <w:rPr>
          <w:rFonts w:ascii="Cambria" w:hAnsi="Cambria"/>
          <w:color w:val="275317" w:themeColor="accent6" w:themeShade="80"/>
        </w:rPr>
        <w:t>Se exige el número de luminaria correspondiente a cada lote.</w:t>
      </w:r>
    </w:p>
    <w:p w14:paraId="1263DDFD" w14:textId="3B32AF0E" w:rsidR="00B45840" w:rsidRDefault="00B45840" w:rsidP="00E1521D">
      <w:pPr>
        <w:shd w:val="clear" w:color="auto" w:fill="FFFFFF"/>
        <w:jc w:val="both"/>
        <w:textAlignment w:val="baseline"/>
        <w:rPr>
          <w:rFonts w:ascii="Segoe UI" w:hAnsi="Segoe UI" w:cs="Segoe UI"/>
          <w:color w:val="242424"/>
          <w:sz w:val="23"/>
          <w:szCs w:val="23"/>
        </w:rPr>
      </w:pPr>
    </w:p>
    <w:p w14:paraId="22728B0F" w14:textId="77777777" w:rsidR="00891530" w:rsidRDefault="00891530" w:rsidP="00E1521D">
      <w:pPr>
        <w:shd w:val="clear" w:color="auto" w:fill="FFFFFF"/>
        <w:jc w:val="both"/>
        <w:textAlignment w:val="baseline"/>
        <w:rPr>
          <w:rFonts w:ascii="Segoe UI" w:hAnsi="Segoe UI" w:cs="Segoe UI"/>
          <w:color w:val="242424"/>
          <w:sz w:val="23"/>
          <w:szCs w:val="23"/>
        </w:rPr>
      </w:pPr>
    </w:p>
    <w:p w14:paraId="1B27287F" w14:textId="19DF8649" w:rsidR="00D97D3D" w:rsidRDefault="00D97D3D" w:rsidP="00E1521D">
      <w:pPr>
        <w:shd w:val="clear" w:color="auto" w:fill="E8E8E8" w:themeFill="background2"/>
        <w:jc w:val="both"/>
        <w:textAlignment w:val="baseline"/>
        <w:rPr>
          <w:rFonts w:ascii="Segoe UI" w:hAnsi="Segoe UI" w:cs="Segoe UI"/>
          <w:color w:val="242424"/>
          <w:sz w:val="23"/>
          <w:szCs w:val="23"/>
        </w:rPr>
      </w:pPr>
      <w:r>
        <w:rPr>
          <w:rFonts w:ascii="Segoe UI" w:hAnsi="Segoe UI" w:cs="Segoe UI"/>
          <w:color w:val="242424"/>
          <w:sz w:val="23"/>
          <w:szCs w:val="23"/>
        </w:rPr>
        <w:br/>
      </w:r>
      <w:r w:rsidR="00024FE7">
        <w:rPr>
          <w:rStyle w:val="Textoennegrita"/>
          <w:rFonts w:ascii="Segoe UI" w:eastAsiaTheme="majorEastAsia" w:hAnsi="Segoe UI" w:cs="Segoe UI"/>
          <w:color w:val="242424"/>
          <w:sz w:val="23"/>
          <w:szCs w:val="23"/>
        </w:rPr>
        <w:t xml:space="preserve">Consulta No. </w:t>
      </w:r>
      <w:r>
        <w:rPr>
          <w:rStyle w:val="Textoennegrita"/>
          <w:rFonts w:ascii="Segoe UI" w:eastAsiaTheme="majorEastAsia" w:hAnsi="Segoe UI" w:cs="Segoe UI"/>
          <w:color w:val="242424"/>
          <w:sz w:val="23"/>
          <w:szCs w:val="23"/>
        </w:rPr>
        <w:t>Insuficiencia del plazo de presentación de ofertas</w:t>
      </w:r>
      <w:r w:rsidR="00024FE7">
        <w:rPr>
          <w:rFonts w:ascii="Segoe UI" w:hAnsi="Segoe UI" w:cs="Segoe UI"/>
          <w:color w:val="242424"/>
          <w:sz w:val="23"/>
          <w:szCs w:val="23"/>
        </w:rPr>
        <w:t xml:space="preserve">. </w:t>
      </w:r>
      <w:r>
        <w:rPr>
          <w:rFonts w:ascii="Segoe UI" w:hAnsi="Segoe UI" w:cs="Segoe UI"/>
          <w:color w:val="242424"/>
          <w:sz w:val="23"/>
          <w:szCs w:val="23"/>
        </w:rPr>
        <w:t>Asimismo, se ha constatado que el plazo otorgado para la preparación y presentación de ofertas resulta insuficiente en atención a la complejidad técnica y al volumen de documentación exigido en el pliego.</w:t>
      </w:r>
    </w:p>
    <w:p w14:paraId="48494842"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p>
    <w:p w14:paraId="3E65E7B0"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r>
        <w:rPr>
          <w:rFonts w:ascii="Segoe UI" w:hAnsi="Segoe UI" w:cs="Segoe UI"/>
          <w:color w:val="242424"/>
          <w:sz w:val="23"/>
          <w:szCs w:val="23"/>
        </w:rPr>
        <w:t>Los requerimientos administrativos, técnicos y formales implican una carga significativa de trabajo que requiere un tiempo razonable de preparación, especialmente en el caso de empresas internacionales que deben recabar, legalizar y, en su caso, traducir documentación conforme a la normativa aplicable.</w:t>
      </w:r>
    </w:p>
    <w:p w14:paraId="6676315D"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p>
    <w:p w14:paraId="5F50A23D"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r>
        <w:rPr>
          <w:rFonts w:ascii="Segoe UI" w:hAnsi="Segoe UI" w:cs="Segoe UI"/>
          <w:color w:val="242424"/>
          <w:sz w:val="23"/>
          <w:szCs w:val="23"/>
        </w:rPr>
        <w:t>Esta situación se ve agravada por el hecho de que la convocatoria ha sido publicada durante el periodo de Semana Santa, lo que reduce de manera efectiva el número de días hábiles disponibles, afectando negativamente a la capacidad real de los licitadores para preparar sus propuestas en condiciones adecuadas.</w:t>
      </w:r>
    </w:p>
    <w:p w14:paraId="336CD5C1"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p>
    <w:p w14:paraId="71510D8D"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r>
        <w:rPr>
          <w:rFonts w:ascii="Segoe UI" w:hAnsi="Segoe UI" w:cs="Segoe UI"/>
          <w:color w:val="242424"/>
          <w:sz w:val="23"/>
          <w:szCs w:val="23"/>
        </w:rPr>
        <w:t>La combinación de ambos factores —elevada carga documental y reducción efectiva de plazos— supone una limitación adicional a la libre concurrencia, en perjuicio tanto de los operadores económicos como del interés público.</w:t>
      </w:r>
    </w:p>
    <w:p w14:paraId="4D81BC27" w14:textId="77777777" w:rsidR="00D97D3D" w:rsidRDefault="00D97D3D" w:rsidP="00E1521D">
      <w:pPr>
        <w:shd w:val="clear" w:color="auto" w:fill="E8E8E8" w:themeFill="background2"/>
        <w:jc w:val="both"/>
        <w:textAlignment w:val="baseline"/>
        <w:rPr>
          <w:rFonts w:ascii="Segoe UI" w:hAnsi="Segoe UI" w:cs="Segoe UI"/>
          <w:color w:val="242424"/>
          <w:sz w:val="23"/>
          <w:szCs w:val="23"/>
        </w:rPr>
      </w:pPr>
    </w:p>
    <w:p w14:paraId="1A87B93A" w14:textId="77777777" w:rsidR="00024FE7" w:rsidRDefault="00D97D3D" w:rsidP="00E1521D">
      <w:pPr>
        <w:shd w:val="clear" w:color="auto" w:fill="E8E8E8" w:themeFill="background2"/>
        <w:spacing w:before="100" w:beforeAutospacing="1" w:after="100" w:afterAutospacing="1"/>
        <w:jc w:val="both"/>
        <w:textAlignment w:val="baseline"/>
        <w:rPr>
          <w:rFonts w:ascii="Segoe UI" w:hAnsi="Segoe UI" w:cs="Segoe UI"/>
          <w:color w:val="242424"/>
          <w:sz w:val="23"/>
          <w:szCs w:val="23"/>
        </w:rPr>
      </w:pPr>
      <w:r>
        <w:rPr>
          <w:rFonts w:ascii="Segoe UI" w:hAnsi="Segoe UI" w:cs="Segoe UI"/>
          <w:color w:val="242424"/>
          <w:sz w:val="23"/>
          <w:szCs w:val="23"/>
        </w:rPr>
        <w:lastRenderedPageBreak/>
        <w:t>Por ello, se solicita la ampliación del plazo de presentación de ofertas, a fin de garantizar una participación efectiva y en condiciones de igualdad.</w:t>
      </w:r>
      <w:r w:rsidR="00024FE7">
        <w:rPr>
          <w:rFonts w:ascii="Segoe UI" w:hAnsi="Segoe UI" w:cs="Segoe UI"/>
          <w:color w:val="242424"/>
          <w:sz w:val="23"/>
          <w:szCs w:val="23"/>
        </w:rPr>
        <w:t xml:space="preserve"> Se acuerde la ampliación del plazo de presentación de ofertas, garantizando así una concurrencia efectiva.</w:t>
      </w:r>
    </w:p>
    <w:p w14:paraId="051C0D99" w14:textId="5BE7BBA1" w:rsidR="00D97D3D" w:rsidRPr="00024FE7" w:rsidRDefault="00024FE7" w:rsidP="00E1521D">
      <w:pPr>
        <w:shd w:val="clear" w:color="auto" w:fill="FFFFFF"/>
        <w:jc w:val="both"/>
        <w:textAlignment w:val="baseline"/>
        <w:rPr>
          <w:rFonts w:ascii="Segoe UI" w:hAnsi="Segoe UI" w:cs="Segoe UI"/>
          <w:b/>
          <w:bCs/>
          <w:color w:val="242424"/>
          <w:sz w:val="23"/>
          <w:szCs w:val="23"/>
        </w:rPr>
      </w:pPr>
      <w:r w:rsidRPr="00CE3142">
        <w:rPr>
          <w:rFonts w:ascii="Segoe UI" w:hAnsi="Segoe UI" w:cs="Segoe UI"/>
          <w:b/>
          <w:bCs/>
          <w:color w:val="242424"/>
          <w:sz w:val="23"/>
          <w:szCs w:val="23"/>
          <w:highlight w:val="green"/>
        </w:rPr>
        <w:t>Respuesta:</w:t>
      </w:r>
    </w:p>
    <w:p w14:paraId="39C7349E" w14:textId="7E4F0C04" w:rsidR="00024FE7" w:rsidRPr="00CE3142" w:rsidRDefault="00B45840" w:rsidP="00E1521D">
      <w:pPr>
        <w:shd w:val="clear" w:color="auto" w:fill="FFFFFF"/>
        <w:jc w:val="both"/>
        <w:textAlignment w:val="baseline"/>
        <w:rPr>
          <w:rFonts w:ascii="Segoe UI" w:hAnsi="Segoe UI" w:cs="Segoe UI"/>
          <w:color w:val="FF0000"/>
          <w:sz w:val="23"/>
          <w:szCs w:val="23"/>
        </w:rPr>
      </w:pPr>
      <w:r>
        <w:rPr>
          <w:rFonts w:ascii="Cambria" w:hAnsi="Cambria"/>
          <w:color w:val="275317" w:themeColor="accent6" w:themeShade="80"/>
        </w:rPr>
        <w:t xml:space="preserve">Valorar la posibilidad de ampliar el plazo para la entrega de las </w:t>
      </w:r>
      <w:r w:rsidR="008427A8">
        <w:rPr>
          <w:rFonts w:ascii="Cambria" w:hAnsi="Cambria"/>
          <w:color w:val="275317" w:themeColor="accent6" w:themeShade="80"/>
        </w:rPr>
        <w:t>propuestas</w:t>
      </w:r>
      <w:r w:rsidR="008427A8" w:rsidRPr="00CE3142">
        <w:rPr>
          <w:rFonts w:ascii="Cambria" w:hAnsi="Cambria"/>
          <w:color w:val="275317" w:themeColor="accent6" w:themeShade="80"/>
          <w:highlight w:val="yellow"/>
        </w:rPr>
        <w:t>. (debe</w:t>
      </w:r>
      <w:r w:rsidR="00CE3142" w:rsidRPr="00CE3142">
        <w:rPr>
          <w:rFonts w:ascii="Cambria" w:hAnsi="Cambria"/>
          <w:color w:val="275317" w:themeColor="accent6" w:themeShade="80"/>
          <w:highlight w:val="yellow"/>
        </w:rPr>
        <w:t xml:space="preserve"> ser visto por el coordinador general </w:t>
      </w:r>
      <w:proofErr w:type="spellStart"/>
      <w:r w:rsidR="00CE3142" w:rsidRPr="00CE3142">
        <w:rPr>
          <w:rFonts w:ascii="Cambria" w:hAnsi="Cambria"/>
          <w:color w:val="275317" w:themeColor="accent6" w:themeShade="80"/>
          <w:highlight w:val="yellow"/>
        </w:rPr>
        <w:t>uep</w:t>
      </w:r>
      <w:proofErr w:type="spellEnd"/>
      <w:r w:rsidR="00CE3142" w:rsidRPr="00CE3142">
        <w:rPr>
          <w:rFonts w:ascii="Cambria" w:hAnsi="Cambria"/>
          <w:color w:val="275317" w:themeColor="accent6" w:themeShade="80"/>
          <w:highlight w:val="yellow"/>
        </w:rPr>
        <w:t>)</w:t>
      </w:r>
    </w:p>
    <w:p w14:paraId="5A1396A9" w14:textId="77777777" w:rsidR="00B45840" w:rsidRDefault="00B45840" w:rsidP="00E1521D">
      <w:pPr>
        <w:shd w:val="clear" w:color="auto" w:fill="FFFFFF"/>
        <w:jc w:val="both"/>
        <w:textAlignment w:val="baseline"/>
        <w:rPr>
          <w:rFonts w:ascii="Segoe UI" w:hAnsi="Segoe UI" w:cs="Segoe UI"/>
          <w:color w:val="242424"/>
          <w:sz w:val="23"/>
          <w:szCs w:val="23"/>
        </w:rPr>
      </w:pPr>
    </w:p>
    <w:p w14:paraId="20424980" w14:textId="77777777" w:rsidR="00D97D3D" w:rsidRDefault="00D97D3D" w:rsidP="00E1521D">
      <w:pPr>
        <w:shd w:val="clear" w:color="auto" w:fill="FFFFFF"/>
        <w:jc w:val="both"/>
        <w:textAlignment w:val="baseline"/>
        <w:rPr>
          <w:rFonts w:ascii="Segoe UI" w:hAnsi="Segoe UI" w:cs="Segoe UI"/>
          <w:color w:val="242424"/>
          <w:sz w:val="23"/>
          <w:szCs w:val="23"/>
        </w:rPr>
      </w:pPr>
    </w:p>
    <w:p w14:paraId="63507914" w14:textId="2D940C31" w:rsidR="00D97D3D" w:rsidRPr="00F27365" w:rsidRDefault="00F27365" w:rsidP="00E1521D">
      <w:pPr>
        <w:shd w:val="clear" w:color="auto" w:fill="E8E8E8" w:themeFill="background2"/>
        <w:jc w:val="both"/>
        <w:textAlignment w:val="baseline"/>
        <w:rPr>
          <w:rFonts w:ascii="Segoe UI" w:hAnsi="Segoe UI" w:cs="Segoe UI"/>
          <w:b/>
          <w:bCs/>
          <w:color w:val="242424"/>
          <w:sz w:val="23"/>
          <w:szCs w:val="23"/>
        </w:rPr>
      </w:pPr>
      <w:r w:rsidRPr="00F27365">
        <w:rPr>
          <w:rStyle w:val="Textoennegrita"/>
          <w:rFonts w:ascii="Segoe UI" w:eastAsiaTheme="majorEastAsia" w:hAnsi="Segoe UI" w:cs="Segoe UI"/>
          <w:color w:val="242424"/>
          <w:sz w:val="23"/>
          <w:szCs w:val="23"/>
        </w:rPr>
        <w:t xml:space="preserve">Consulta </w:t>
      </w:r>
      <w:proofErr w:type="spellStart"/>
      <w:proofErr w:type="gramStart"/>
      <w:r w:rsidRPr="00F27365">
        <w:rPr>
          <w:rStyle w:val="Textoennegrita"/>
          <w:rFonts w:ascii="Segoe UI" w:eastAsiaTheme="majorEastAsia" w:hAnsi="Segoe UI" w:cs="Segoe UI"/>
          <w:color w:val="242424"/>
          <w:sz w:val="23"/>
          <w:szCs w:val="23"/>
        </w:rPr>
        <w:t>No.xx</w:t>
      </w:r>
      <w:proofErr w:type="spellEnd"/>
      <w:r w:rsidRPr="00F27365">
        <w:rPr>
          <w:rStyle w:val="Textoennegrita"/>
          <w:rFonts w:ascii="Segoe UI" w:eastAsiaTheme="majorEastAsia" w:hAnsi="Segoe UI" w:cs="Segoe UI"/>
          <w:color w:val="242424"/>
          <w:sz w:val="23"/>
          <w:szCs w:val="23"/>
        </w:rPr>
        <w:t>.</w:t>
      </w:r>
      <w:proofErr w:type="gramEnd"/>
      <w:r w:rsidR="00D97D3D" w:rsidRPr="00F27365">
        <w:rPr>
          <w:rStyle w:val="Textoennegrita"/>
          <w:rFonts w:ascii="Segoe UI" w:eastAsiaTheme="majorEastAsia" w:hAnsi="Segoe UI" w:cs="Segoe UI"/>
          <w:color w:val="242424"/>
          <w:sz w:val="23"/>
          <w:szCs w:val="23"/>
        </w:rPr>
        <w:t xml:space="preserve"> Criterio de puntuación vinculado a experiencia geográfica en Latinoamérica</w:t>
      </w:r>
      <w:r w:rsidRPr="00F27365">
        <w:rPr>
          <w:rStyle w:val="Textoennegrita"/>
          <w:rFonts w:ascii="Segoe UI" w:eastAsiaTheme="majorEastAsia" w:hAnsi="Segoe UI" w:cs="Segoe UI"/>
          <w:color w:val="242424"/>
          <w:sz w:val="23"/>
          <w:szCs w:val="23"/>
        </w:rPr>
        <w:t xml:space="preserve">. </w:t>
      </w:r>
      <w:r w:rsidR="00D97D3D" w:rsidRPr="00F27365">
        <w:rPr>
          <w:rFonts w:ascii="Segoe UI" w:hAnsi="Segoe UI" w:cs="Segoe UI"/>
          <w:b/>
          <w:bCs/>
          <w:color w:val="242424"/>
          <w:sz w:val="23"/>
          <w:szCs w:val="23"/>
        </w:rPr>
        <w:t>Se ha identificado asimismo que el pliego contempla la asignación de una puntuación adicional a aquellos licitadores que acrediten haber instalado un mínimo de 50.000 luminarias en países de Latinoamérica.</w:t>
      </w:r>
    </w:p>
    <w:p w14:paraId="2141F179" w14:textId="77777777" w:rsidR="00D97D3D" w:rsidRPr="00F27365" w:rsidRDefault="00D97D3D" w:rsidP="00E1521D">
      <w:pPr>
        <w:shd w:val="clear" w:color="auto" w:fill="E8E8E8" w:themeFill="background2"/>
        <w:jc w:val="both"/>
        <w:textAlignment w:val="baseline"/>
        <w:rPr>
          <w:rFonts w:ascii="Segoe UI" w:hAnsi="Segoe UI" w:cs="Segoe UI"/>
          <w:b/>
          <w:bCs/>
          <w:color w:val="242424"/>
          <w:sz w:val="23"/>
          <w:szCs w:val="23"/>
        </w:rPr>
      </w:pPr>
    </w:p>
    <w:p w14:paraId="79D9766F" w14:textId="77777777" w:rsidR="00D97D3D" w:rsidRPr="00F27365" w:rsidRDefault="00D97D3D" w:rsidP="00E1521D">
      <w:pPr>
        <w:shd w:val="clear" w:color="auto" w:fill="E8E8E8" w:themeFill="background2"/>
        <w:jc w:val="both"/>
        <w:textAlignment w:val="baseline"/>
        <w:rPr>
          <w:rFonts w:ascii="Segoe UI" w:hAnsi="Segoe UI" w:cs="Segoe UI"/>
          <w:b/>
          <w:bCs/>
          <w:color w:val="242424"/>
          <w:sz w:val="23"/>
          <w:szCs w:val="23"/>
        </w:rPr>
      </w:pPr>
      <w:r w:rsidRPr="00F27365">
        <w:rPr>
          <w:rFonts w:ascii="Segoe UI" w:hAnsi="Segoe UI" w:cs="Segoe UI"/>
          <w:b/>
          <w:bCs/>
          <w:color w:val="242424"/>
          <w:sz w:val="23"/>
          <w:szCs w:val="23"/>
        </w:rPr>
        <w:t>Este criterio introduce un elemento de diferenciación basado exclusivamente en la localización geográfica de la experiencia previa, lo cual resulta cuestionable desde la perspectiva de los principios de igualdad de trato y no discriminación.</w:t>
      </w:r>
    </w:p>
    <w:p w14:paraId="26A18B78" w14:textId="77777777" w:rsidR="00D97D3D" w:rsidRPr="00F27365" w:rsidRDefault="00D97D3D" w:rsidP="00E1521D">
      <w:pPr>
        <w:shd w:val="clear" w:color="auto" w:fill="E8E8E8" w:themeFill="background2"/>
        <w:jc w:val="both"/>
        <w:textAlignment w:val="baseline"/>
        <w:rPr>
          <w:rFonts w:ascii="Segoe UI" w:hAnsi="Segoe UI" w:cs="Segoe UI"/>
          <w:b/>
          <w:bCs/>
          <w:color w:val="242424"/>
          <w:sz w:val="23"/>
          <w:szCs w:val="23"/>
        </w:rPr>
      </w:pPr>
    </w:p>
    <w:p w14:paraId="1E7039E9" w14:textId="77777777" w:rsidR="00D97D3D" w:rsidRPr="00F27365" w:rsidRDefault="00D97D3D" w:rsidP="00E1521D">
      <w:pPr>
        <w:shd w:val="clear" w:color="auto" w:fill="E8E8E8" w:themeFill="background2"/>
        <w:jc w:val="both"/>
        <w:textAlignment w:val="baseline"/>
        <w:rPr>
          <w:rFonts w:ascii="Segoe UI" w:hAnsi="Segoe UI" w:cs="Segoe UI"/>
          <w:b/>
          <w:bCs/>
          <w:color w:val="242424"/>
          <w:sz w:val="23"/>
          <w:szCs w:val="23"/>
        </w:rPr>
      </w:pPr>
      <w:r w:rsidRPr="00F27365">
        <w:rPr>
          <w:rFonts w:ascii="Segoe UI" w:hAnsi="Segoe UI" w:cs="Segoe UI"/>
          <w:b/>
          <w:bCs/>
          <w:color w:val="242424"/>
          <w:sz w:val="23"/>
          <w:szCs w:val="23"/>
        </w:rPr>
        <w:t>En efecto, no se aprecia una justificación objetiva que permita concluir que la ejecución de proyectos en países de Latinoamérica implique, per se, una mayor capacidad técnica o una ventaja relevante para la correcta ejecución del contrato frente a experiencias equivalentes desarrolladas en otras regiones del mundo.</w:t>
      </w:r>
    </w:p>
    <w:p w14:paraId="526A65C7" w14:textId="77777777" w:rsidR="00D97D3D" w:rsidRPr="00F27365" w:rsidRDefault="00D97D3D" w:rsidP="00E1521D">
      <w:pPr>
        <w:shd w:val="clear" w:color="auto" w:fill="E8E8E8" w:themeFill="background2"/>
        <w:jc w:val="both"/>
        <w:textAlignment w:val="baseline"/>
        <w:rPr>
          <w:rFonts w:ascii="Segoe UI" w:hAnsi="Segoe UI" w:cs="Segoe UI"/>
          <w:b/>
          <w:bCs/>
          <w:color w:val="242424"/>
          <w:sz w:val="23"/>
          <w:szCs w:val="23"/>
        </w:rPr>
      </w:pPr>
    </w:p>
    <w:p w14:paraId="56CF5DBB" w14:textId="77777777" w:rsidR="00D97D3D" w:rsidRPr="00F27365" w:rsidRDefault="00D97D3D" w:rsidP="00E1521D">
      <w:pPr>
        <w:shd w:val="clear" w:color="auto" w:fill="E8E8E8" w:themeFill="background2"/>
        <w:jc w:val="both"/>
        <w:textAlignment w:val="baseline"/>
        <w:rPr>
          <w:rFonts w:ascii="Segoe UI" w:hAnsi="Segoe UI" w:cs="Segoe UI"/>
          <w:b/>
          <w:bCs/>
          <w:color w:val="242424"/>
          <w:sz w:val="23"/>
          <w:szCs w:val="23"/>
        </w:rPr>
      </w:pPr>
      <w:r w:rsidRPr="00F27365">
        <w:rPr>
          <w:rFonts w:ascii="Segoe UI" w:hAnsi="Segoe UI" w:cs="Segoe UI"/>
          <w:b/>
          <w:bCs/>
          <w:color w:val="242424"/>
          <w:sz w:val="23"/>
          <w:szCs w:val="23"/>
        </w:rPr>
        <w:t>Por el contrario, la calidad y solvencia técnica en este tipo de proyectos vienen determinadas por factores como la complejidad de las instalaciones, el volumen de ejecución, la tecnología empleada o la correcta gestión del proyecto, con independencia del ámbito geográfico en el que se hayan desarrollado.</w:t>
      </w:r>
    </w:p>
    <w:p w14:paraId="6C4BB1FD" w14:textId="77777777" w:rsidR="00D97D3D" w:rsidRPr="00F27365" w:rsidRDefault="00D97D3D" w:rsidP="00E1521D">
      <w:pPr>
        <w:shd w:val="clear" w:color="auto" w:fill="E8E8E8" w:themeFill="background2"/>
        <w:jc w:val="both"/>
        <w:textAlignment w:val="baseline"/>
        <w:rPr>
          <w:rFonts w:ascii="Segoe UI" w:hAnsi="Segoe UI" w:cs="Segoe UI"/>
          <w:b/>
          <w:bCs/>
          <w:color w:val="242424"/>
          <w:sz w:val="23"/>
          <w:szCs w:val="23"/>
        </w:rPr>
      </w:pPr>
    </w:p>
    <w:p w14:paraId="2EF815B2" w14:textId="77777777" w:rsidR="00D97D3D" w:rsidRPr="00F27365" w:rsidRDefault="00D97D3D" w:rsidP="00E1521D">
      <w:pPr>
        <w:shd w:val="clear" w:color="auto" w:fill="E8E8E8" w:themeFill="background2"/>
        <w:jc w:val="both"/>
        <w:textAlignment w:val="baseline"/>
        <w:rPr>
          <w:rFonts w:ascii="Segoe UI" w:hAnsi="Segoe UI" w:cs="Segoe UI"/>
          <w:b/>
          <w:bCs/>
          <w:color w:val="242424"/>
          <w:sz w:val="23"/>
          <w:szCs w:val="23"/>
        </w:rPr>
      </w:pPr>
      <w:r w:rsidRPr="00F27365">
        <w:rPr>
          <w:rFonts w:ascii="Segoe UI" w:hAnsi="Segoe UI" w:cs="Segoe UI"/>
          <w:b/>
          <w:bCs/>
          <w:color w:val="242424"/>
          <w:sz w:val="23"/>
          <w:szCs w:val="23"/>
        </w:rPr>
        <w:t>La introducción de este criterio podría, por tanto, generar una desventaja competitiva injustificada para operadores económicos que, aun contando con amplia experiencia internacional en proyectos de características equivalentes o superiores, no hayan desarrollado actividad específica en países de Latinoamérica.</w:t>
      </w:r>
    </w:p>
    <w:p w14:paraId="7E651EF5" w14:textId="77777777" w:rsidR="00D97D3D" w:rsidRPr="00F27365" w:rsidRDefault="00D97D3D" w:rsidP="00E1521D">
      <w:pPr>
        <w:shd w:val="clear" w:color="auto" w:fill="E8E8E8" w:themeFill="background2"/>
        <w:jc w:val="both"/>
        <w:textAlignment w:val="baseline"/>
        <w:rPr>
          <w:rFonts w:ascii="Segoe UI" w:hAnsi="Segoe UI" w:cs="Segoe UI"/>
          <w:b/>
          <w:bCs/>
          <w:color w:val="242424"/>
          <w:sz w:val="23"/>
          <w:szCs w:val="23"/>
        </w:rPr>
      </w:pPr>
    </w:p>
    <w:p w14:paraId="0861A048" w14:textId="77777777" w:rsidR="00D97D3D" w:rsidRPr="00F27365" w:rsidRDefault="00D97D3D" w:rsidP="00E1521D">
      <w:pPr>
        <w:shd w:val="clear" w:color="auto" w:fill="E8E8E8" w:themeFill="background2"/>
        <w:jc w:val="both"/>
        <w:textAlignment w:val="baseline"/>
        <w:rPr>
          <w:rFonts w:ascii="Segoe UI" w:hAnsi="Segoe UI" w:cs="Segoe UI"/>
          <w:b/>
          <w:bCs/>
          <w:color w:val="242424"/>
          <w:sz w:val="23"/>
          <w:szCs w:val="23"/>
        </w:rPr>
      </w:pPr>
      <w:r w:rsidRPr="00F27365">
        <w:rPr>
          <w:rFonts w:ascii="Segoe UI" w:hAnsi="Segoe UI" w:cs="Segoe UI"/>
          <w:b/>
          <w:bCs/>
          <w:color w:val="242424"/>
          <w:sz w:val="23"/>
          <w:szCs w:val="23"/>
        </w:rPr>
        <w:t>En consecuencia, se considera que dicho criterio no guarda una vinculación suficiente con el objeto del contrato ni responde a un principio de proporcionalidad, por lo que se solicita su revisión o eliminación, a fin de garantizar una competencia efectiva en condiciones de igualdad.</w:t>
      </w:r>
    </w:p>
    <w:p w14:paraId="244EA6A0" w14:textId="77777777" w:rsidR="00D97D3D" w:rsidRPr="00F27365" w:rsidRDefault="00D97D3D" w:rsidP="00E1521D">
      <w:pPr>
        <w:shd w:val="clear" w:color="auto" w:fill="E8E8E8" w:themeFill="background2"/>
        <w:jc w:val="both"/>
        <w:textAlignment w:val="baseline"/>
        <w:rPr>
          <w:rFonts w:ascii="Segoe UI" w:hAnsi="Segoe UI" w:cs="Segoe UI"/>
          <w:b/>
          <w:bCs/>
          <w:color w:val="242424"/>
          <w:sz w:val="23"/>
          <w:szCs w:val="23"/>
        </w:rPr>
      </w:pPr>
    </w:p>
    <w:p w14:paraId="37C091F4" w14:textId="5047CFD0" w:rsidR="00D97D3D" w:rsidRPr="00F27365" w:rsidRDefault="00D97D3D" w:rsidP="00E1521D">
      <w:pPr>
        <w:shd w:val="clear" w:color="auto" w:fill="E8E8E8" w:themeFill="background2"/>
        <w:jc w:val="both"/>
        <w:textAlignment w:val="baseline"/>
        <w:rPr>
          <w:rFonts w:ascii="Segoe UI" w:hAnsi="Segoe UI" w:cs="Segoe UI"/>
          <w:b/>
          <w:bCs/>
          <w:color w:val="242424"/>
          <w:sz w:val="23"/>
          <w:szCs w:val="23"/>
        </w:rPr>
      </w:pPr>
      <w:r w:rsidRPr="00F27365">
        <w:rPr>
          <w:rFonts w:ascii="Segoe UI" w:hAnsi="Segoe UI" w:cs="Segoe UI"/>
          <w:b/>
          <w:bCs/>
          <w:color w:val="242424"/>
          <w:sz w:val="23"/>
          <w:szCs w:val="23"/>
        </w:rPr>
        <w:t>En virtud de lo anterior,</w:t>
      </w:r>
      <w:r w:rsidR="00F27365" w:rsidRPr="00F27365">
        <w:rPr>
          <w:rFonts w:ascii="Segoe UI" w:hAnsi="Segoe UI" w:cs="Segoe UI"/>
          <w:b/>
          <w:bCs/>
          <w:color w:val="242424"/>
          <w:sz w:val="23"/>
          <w:szCs w:val="23"/>
        </w:rPr>
        <w:t xml:space="preserve"> se solicita s</w:t>
      </w:r>
      <w:r w:rsidRPr="00F27365">
        <w:rPr>
          <w:rFonts w:ascii="Segoe UI" w:hAnsi="Segoe UI" w:cs="Segoe UI"/>
          <w:b/>
          <w:bCs/>
          <w:color w:val="242424"/>
          <w:sz w:val="23"/>
          <w:szCs w:val="23"/>
        </w:rPr>
        <w:t xml:space="preserve">e elimine el apartado relativo a otorgar una mayor puntuación por instalaciones realizadas específicamente en </w:t>
      </w:r>
      <w:r w:rsidRPr="00F27365">
        <w:rPr>
          <w:rFonts w:ascii="Segoe UI" w:hAnsi="Segoe UI" w:cs="Segoe UI"/>
          <w:b/>
          <w:bCs/>
          <w:color w:val="242424"/>
          <w:sz w:val="23"/>
          <w:szCs w:val="23"/>
        </w:rPr>
        <w:lastRenderedPageBreak/>
        <w:t>Latinoamérica o en cualquier otro territorio concreto.</w:t>
      </w:r>
      <w:r w:rsidR="00F27365" w:rsidRPr="00F27365">
        <w:rPr>
          <w:rFonts w:ascii="Segoe UI" w:hAnsi="Segoe UI" w:cs="Segoe UI"/>
          <w:b/>
          <w:bCs/>
          <w:color w:val="242424"/>
          <w:sz w:val="23"/>
          <w:szCs w:val="23"/>
        </w:rPr>
        <w:t xml:space="preserve"> </w:t>
      </w:r>
      <w:r w:rsidRPr="00F27365">
        <w:rPr>
          <w:rFonts w:ascii="Segoe UI" w:hAnsi="Segoe UI" w:cs="Segoe UI"/>
          <w:b/>
          <w:bCs/>
          <w:color w:val="242424"/>
          <w:sz w:val="23"/>
          <w:szCs w:val="23"/>
        </w:rPr>
        <w:t>Se adopten cuantas medidas sean necesarias para asegurar el respeto a los principios de libre competencia, igualdad de trato y eficiencia en la contratación pública.</w:t>
      </w:r>
    </w:p>
    <w:p w14:paraId="27EA56CD" w14:textId="77777777" w:rsidR="00D97D3D" w:rsidRDefault="00D97D3D" w:rsidP="00E1521D">
      <w:pPr>
        <w:pStyle w:val="Prrafodelista"/>
        <w:shd w:val="clear" w:color="auto" w:fill="FFFFFF" w:themeFill="background1"/>
        <w:jc w:val="both"/>
        <w:rPr>
          <w:rFonts w:ascii="Cambria" w:hAnsi="Cambria"/>
          <w:b/>
          <w:bCs/>
        </w:rPr>
      </w:pPr>
    </w:p>
    <w:p w14:paraId="00A2125E" w14:textId="77777777" w:rsidR="00F27365" w:rsidRPr="00024FE7" w:rsidRDefault="00F27365" w:rsidP="00E1521D">
      <w:pPr>
        <w:shd w:val="clear" w:color="auto" w:fill="FFFFFF"/>
        <w:jc w:val="both"/>
        <w:textAlignment w:val="baseline"/>
        <w:rPr>
          <w:rFonts w:ascii="Segoe UI" w:hAnsi="Segoe UI" w:cs="Segoe UI"/>
          <w:b/>
          <w:bCs/>
          <w:color w:val="242424"/>
          <w:sz w:val="23"/>
          <w:szCs w:val="23"/>
        </w:rPr>
      </w:pPr>
      <w:r w:rsidRPr="00CE3142">
        <w:rPr>
          <w:rFonts w:ascii="Segoe UI" w:hAnsi="Segoe UI" w:cs="Segoe UI"/>
          <w:b/>
          <w:bCs/>
          <w:color w:val="242424"/>
          <w:sz w:val="23"/>
          <w:szCs w:val="23"/>
          <w:highlight w:val="green"/>
        </w:rPr>
        <w:t>Respuesta:</w:t>
      </w:r>
    </w:p>
    <w:p w14:paraId="6B93CE41" w14:textId="00BD6448" w:rsidR="00D97D3D" w:rsidRPr="00B45840" w:rsidRDefault="00520975" w:rsidP="00E1521D">
      <w:pPr>
        <w:shd w:val="clear" w:color="auto" w:fill="FFFFFF" w:themeFill="background1"/>
        <w:jc w:val="both"/>
        <w:rPr>
          <w:rFonts w:ascii="Cambria" w:hAnsi="Cambria"/>
          <w:b/>
          <w:bCs/>
        </w:rPr>
      </w:pPr>
      <w:r>
        <w:rPr>
          <w:rFonts w:ascii="Cambria" w:hAnsi="Cambria"/>
          <w:color w:val="275317" w:themeColor="accent6" w:themeShade="80"/>
        </w:rPr>
        <w:t>Se elimina la delimitación geográfica.</w:t>
      </w:r>
    </w:p>
    <w:p w14:paraId="250DCCAC" w14:textId="1F4D8DE0" w:rsidR="00891530" w:rsidRDefault="00891530" w:rsidP="00E1521D">
      <w:pPr>
        <w:spacing w:after="160" w:line="278" w:lineRule="auto"/>
        <w:jc w:val="both"/>
        <w:rPr>
          <w:rFonts w:ascii="Cambria" w:hAnsi="Cambria"/>
          <w:b/>
          <w:bCs/>
        </w:rPr>
      </w:pPr>
      <w:r>
        <w:rPr>
          <w:rFonts w:ascii="Cambria" w:hAnsi="Cambria"/>
          <w:b/>
          <w:bCs/>
        </w:rPr>
        <w:br w:type="page"/>
      </w:r>
    </w:p>
    <w:p w14:paraId="53D89B30" w14:textId="7C7B4EF8" w:rsidR="00891530" w:rsidRDefault="00891530" w:rsidP="00E1521D">
      <w:pPr>
        <w:pStyle w:val="Ttulo1"/>
        <w:jc w:val="both"/>
      </w:pPr>
      <w:r>
        <w:lastRenderedPageBreak/>
        <w:t>CONSULTA POST REUNIÓN 21/04</w:t>
      </w:r>
    </w:p>
    <w:p w14:paraId="378D5BCB" w14:textId="77777777" w:rsidR="00891530" w:rsidRPr="00891530" w:rsidRDefault="00891530" w:rsidP="00E1521D">
      <w:pPr>
        <w:jc w:val="both"/>
        <w:rPr>
          <w:b/>
          <w:bCs/>
          <w:color w:val="FF0000"/>
        </w:rPr>
      </w:pPr>
      <w:r w:rsidRPr="00891530">
        <w:rPr>
          <w:b/>
          <w:bCs/>
          <w:color w:val="FF0000"/>
        </w:rPr>
        <w:t>Preguntas recibidas posterior al cierre de la reunión de ayer</w:t>
      </w:r>
    </w:p>
    <w:p w14:paraId="450741EE" w14:textId="77777777" w:rsidR="00891530" w:rsidRPr="00891530" w:rsidRDefault="00891530" w:rsidP="00E1521D">
      <w:pPr>
        <w:jc w:val="both"/>
        <w:rPr>
          <w:b/>
          <w:bCs/>
        </w:rPr>
      </w:pPr>
    </w:p>
    <w:p w14:paraId="4279105E" w14:textId="77777777" w:rsidR="00891530" w:rsidRPr="00891530" w:rsidRDefault="00891530" w:rsidP="00E1521D">
      <w:pPr>
        <w:jc w:val="both"/>
      </w:pPr>
      <w:r w:rsidRPr="00891530">
        <w:rPr>
          <w:b/>
          <w:bCs/>
        </w:rPr>
        <w:t xml:space="preserve">Consulta No. xx. Flujo luminoso mínimo. </w:t>
      </w:r>
      <w:r w:rsidRPr="00891530">
        <w:t>En el ítem 4.6 de las PDTG se establece un flujo luminoso mínimo de ≥11.700 lm aplicable aparentemente a todas las luminarias, independientemente de su potencia (30W–240W).</w:t>
      </w:r>
    </w:p>
    <w:p w14:paraId="3975B5DF" w14:textId="77777777" w:rsidR="00891530" w:rsidRPr="00891530" w:rsidRDefault="00891530" w:rsidP="00E1521D">
      <w:pPr>
        <w:jc w:val="both"/>
      </w:pPr>
      <w:r w:rsidRPr="00891530">
        <w:t>Sin embargo, el flujo luminoso de una luminaria está directamente vinculado a su potencia y eficiencia. Por ejemplo, considerando una eficiencia de referencia de 150 lm/W, una luminaria de 40W generaría aproximadamente 6.000 lm, valor significativamente inferior al mínimo indicado.</w:t>
      </w:r>
    </w:p>
    <w:p w14:paraId="73CF100A" w14:textId="77777777" w:rsidR="00891530" w:rsidRPr="00891530" w:rsidRDefault="00891530" w:rsidP="00E1521D">
      <w:pPr>
        <w:jc w:val="both"/>
      </w:pPr>
      <w:r w:rsidRPr="00891530">
        <w:t>En este sentido, agradeceríamos confirmar:</w:t>
      </w:r>
    </w:p>
    <w:p w14:paraId="69A73C47" w14:textId="77777777" w:rsidR="00891530" w:rsidRPr="00891530" w:rsidRDefault="00891530" w:rsidP="00E1521D">
      <w:pPr>
        <w:numPr>
          <w:ilvl w:val="0"/>
          <w:numId w:val="8"/>
        </w:numPr>
        <w:jc w:val="both"/>
      </w:pPr>
      <w:r w:rsidRPr="00891530">
        <w:t>Que el valor del flujo mínimo de cada modelo es 150lm/w x la potencia, y que el valor mínimo de 11.700lm en cada modelo es un error.</w:t>
      </w:r>
    </w:p>
    <w:p w14:paraId="4FC05851" w14:textId="77777777" w:rsidR="00891530" w:rsidRPr="00891530" w:rsidRDefault="00891530" w:rsidP="00E1521D">
      <w:pPr>
        <w:numPr>
          <w:ilvl w:val="0"/>
          <w:numId w:val="8"/>
        </w:numPr>
        <w:jc w:val="both"/>
      </w:pPr>
      <w:r w:rsidRPr="00891530">
        <w:t xml:space="preserve">Y, si se prevé la publicación corregir dicho fallo con la publicación de una tabla o criterio que relacione potencia nominal con flujo luminoso mínimo exigido. </w:t>
      </w:r>
    </w:p>
    <w:p w14:paraId="2109042E" w14:textId="77777777" w:rsidR="00891530" w:rsidRPr="00891530" w:rsidRDefault="00891530" w:rsidP="00E1521D">
      <w:pPr>
        <w:numPr>
          <w:ilvl w:val="0"/>
          <w:numId w:val="8"/>
        </w:numPr>
        <w:jc w:val="both"/>
      </w:pPr>
      <w:r w:rsidRPr="00891530">
        <w:t>Confirmar que el valor 150lm/w mínimo de salida es de la luminaria y no del LED.</w:t>
      </w:r>
    </w:p>
    <w:p w14:paraId="71F209A3" w14:textId="77777777" w:rsidR="00891530" w:rsidRPr="00891530" w:rsidRDefault="00891530" w:rsidP="00E1521D">
      <w:pPr>
        <w:jc w:val="both"/>
      </w:pPr>
      <w:r w:rsidRPr="00891530">
        <w:t>Esta aclaración es fundamental para garantizar la coherencia técnica de la solución propuesta y el cumplimiento de los requisitos establecidos.</w:t>
      </w:r>
    </w:p>
    <w:p w14:paraId="04DA51B9" w14:textId="34B9CA2B" w:rsidR="00891530" w:rsidRDefault="00891530" w:rsidP="00E1521D">
      <w:pPr>
        <w:jc w:val="both"/>
        <w:rPr>
          <w:rFonts w:ascii="Cambria" w:hAnsi="Cambria"/>
          <w:b/>
          <w:bCs/>
          <w:noProof/>
          <w:lang w:val="es-ES" w:eastAsia="es-ES"/>
        </w:rPr>
      </w:pPr>
    </w:p>
    <w:p w14:paraId="6E54231B" w14:textId="77777777" w:rsidR="00914A55" w:rsidRPr="00044E87" w:rsidRDefault="00914A55" w:rsidP="00914A55">
      <w:pPr>
        <w:shd w:val="clear" w:color="auto" w:fill="FFFFFF" w:themeFill="background1"/>
        <w:jc w:val="both"/>
        <w:rPr>
          <w:b/>
          <w:bCs/>
        </w:rPr>
      </w:pPr>
      <w:r w:rsidRPr="00044E87">
        <w:rPr>
          <w:b/>
          <w:bCs/>
          <w:highlight w:val="green"/>
        </w:rPr>
        <w:t>Respuesta:</w:t>
      </w:r>
    </w:p>
    <w:p w14:paraId="691F8BCB" w14:textId="78D800B6" w:rsidR="00B6587E" w:rsidRPr="00667340" w:rsidRDefault="00914A55" w:rsidP="00E1521D">
      <w:pPr>
        <w:jc w:val="both"/>
        <w:rPr>
          <w:u w:val="single"/>
        </w:rPr>
      </w:pPr>
      <w:r>
        <w:rPr>
          <w:rFonts w:ascii="Cambria" w:hAnsi="Cambria"/>
          <w:color w:val="275317" w:themeColor="accent6" w:themeShade="80"/>
        </w:rPr>
        <w:t>Se elimina la exigencia relativa al flujo luminoso ≥ 11.700lm. Se exige exclusivamente el cumplimiento de la e</w:t>
      </w:r>
      <w:r w:rsidRPr="000F1A93">
        <w:rPr>
          <w:rFonts w:ascii="Cambria" w:hAnsi="Cambria"/>
          <w:color w:val="275317" w:themeColor="accent6" w:themeShade="80"/>
        </w:rPr>
        <w:t xml:space="preserve">ficiencia lm/w </w:t>
      </w:r>
      <w:r>
        <w:rPr>
          <w:rFonts w:ascii="Cambria" w:hAnsi="Cambria"/>
          <w:color w:val="275317" w:themeColor="accent6" w:themeShade="80"/>
        </w:rPr>
        <w:t>con un valor m</w:t>
      </w:r>
      <w:r w:rsidRPr="000F1A93">
        <w:rPr>
          <w:rFonts w:ascii="Cambria" w:hAnsi="Cambria"/>
          <w:color w:val="275317" w:themeColor="accent6" w:themeShade="80"/>
        </w:rPr>
        <w:t xml:space="preserve">ínimo </w:t>
      </w:r>
      <w:r>
        <w:rPr>
          <w:rFonts w:ascii="Cambria" w:hAnsi="Cambria"/>
          <w:color w:val="275317" w:themeColor="accent6" w:themeShade="80"/>
        </w:rPr>
        <w:t xml:space="preserve">ensayado ≥150 lm/W. Los valores propuestos en la tabla de la Consulta #3 son correctos, </w:t>
      </w:r>
      <w:r w:rsidR="00667340">
        <w:rPr>
          <w:rFonts w:ascii="Cambria" w:hAnsi="Cambria"/>
          <w:color w:val="275317" w:themeColor="accent6" w:themeShade="80"/>
        </w:rPr>
        <w:t>y serán considerados en la PDGT.</w:t>
      </w:r>
    </w:p>
    <w:p w14:paraId="72F76C8F" w14:textId="77777777" w:rsidR="00B6587E" w:rsidRPr="00891530" w:rsidRDefault="00B6587E" w:rsidP="00E1521D">
      <w:pPr>
        <w:jc w:val="both"/>
      </w:pPr>
    </w:p>
    <w:p w14:paraId="467DD736" w14:textId="77777777" w:rsidR="00891530" w:rsidRPr="00891530" w:rsidRDefault="00891530" w:rsidP="00E1521D">
      <w:pPr>
        <w:jc w:val="both"/>
      </w:pPr>
    </w:p>
    <w:p w14:paraId="64B60483" w14:textId="77777777" w:rsidR="00891530" w:rsidRPr="00891530" w:rsidRDefault="00891530" w:rsidP="00E1521D">
      <w:pPr>
        <w:jc w:val="both"/>
      </w:pPr>
    </w:p>
    <w:p w14:paraId="35D803E3" w14:textId="77777777" w:rsidR="00891530" w:rsidRPr="00891530" w:rsidRDefault="00891530" w:rsidP="00E1521D">
      <w:pPr>
        <w:jc w:val="both"/>
      </w:pPr>
      <w:r w:rsidRPr="00891530">
        <w:rPr>
          <w:b/>
          <w:bCs/>
        </w:rPr>
        <w:t xml:space="preserve">Consulta No. xx. Homogeneidad de PDTG por potencia. </w:t>
      </w:r>
      <w:r w:rsidRPr="00891530">
        <w:t>Se observa que las PDTG correspondientes a las distintas luminarias (desde 30W hasta 240W) presentan especificaciones técnicas idénticas en todos sus apartados, diferenciándose únicamente en el valor de potencia indicado en la etiqueta.</w:t>
      </w:r>
    </w:p>
    <w:p w14:paraId="3B19DD54" w14:textId="77777777" w:rsidR="00891530" w:rsidRPr="00891530" w:rsidRDefault="00891530" w:rsidP="00E1521D">
      <w:pPr>
        <w:jc w:val="both"/>
      </w:pPr>
      <w:r w:rsidRPr="00891530">
        <w:t>Dado que parámetros como flujo luminoso, corriente del driver, rendimiento o incluso características térmicas suelen variar en función de la potencia, agradeceríamos confirmar:</w:t>
      </w:r>
    </w:p>
    <w:p w14:paraId="6A4CAC64" w14:textId="77777777" w:rsidR="00891530" w:rsidRPr="00891530" w:rsidRDefault="00891530" w:rsidP="00E1521D">
      <w:pPr>
        <w:numPr>
          <w:ilvl w:val="0"/>
          <w:numId w:val="20"/>
        </w:numPr>
        <w:jc w:val="both"/>
      </w:pPr>
      <w:r w:rsidRPr="00891530">
        <w:t>si está prevista la emisión de versiones diferenciadas de las PDTG que recojan requisitos específicos por tipo o rango de luminaria.</w:t>
      </w:r>
    </w:p>
    <w:p w14:paraId="1A7E601B" w14:textId="77777777" w:rsidR="00891530" w:rsidRPr="00891530" w:rsidRDefault="00891530" w:rsidP="00E1521D">
      <w:pPr>
        <w:numPr>
          <w:ilvl w:val="0"/>
          <w:numId w:val="20"/>
        </w:numPr>
        <w:jc w:val="both"/>
      </w:pPr>
      <w:r w:rsidRPr="00891530">
        <w:t xml:space="preserve">Y, si el licitante debe adaptar los valores técnicos de su propuesta a cada rango de potencia, garantizando en todo caso el cumplimiento de los mínimos generales, </w:t>
      </w:r>
    </w:p>
    <w:p w14:paraId="7D39B53C" w14:textId="77777777" w:rsidR="00891530" w:rsidRPr="00891530" w:rsidRDefault="00891530" w:rsidP="00E1521D">
      <w:pPr>
        <w:jc w:val="both"/>
      </w:pPr>
      <w:r w:rsidRPr="00891530">
        <w:t>Esta aclaración resulta clave para el correcto dimensionamiento técnico de la oferta.</w:t>
      </w:r>
    </w:p>
    <w:p w14:paraId="29EABF4D" w14:textId="77777777" w:rsidR="00891530" w:rsidRPr="00891530" w:rsidRDefault="00891530" w:rsidP="00E1521D">
      <w:pPr>
        <w:jc w:val="both"/>
      </w:pPr>
    </w:p>
    <w:p w14:paraId="2DB9B43B" w14:textId="77777777" w:rsidR="00891530" w:rsidRPr="00891530" w:rsidRDefault="00891530" w:rsidP="00E1521D">
      <w:pPr>
        <w:jc w:val="both"/>
        <w:rPr>
          <w:b/>
          <w:bCs/>
        </w:rPr>
      </w:pPr>
      <w:r w:rsidRPr="00891530">
        <w:rPr>
          <w:b/>
          <w:bCs/>
        </w:rPr>
        <w:t>Respuesta:</w:t>
      </w:r>
    </w:p>
    <w:p w14:paraId="48440B4F" w14:textId="5AA87AEA" w:rsidR="00891530" w:rsidRPr="00A71272" w:rsidRDefault="00A71272" w:rsidP="00E1521D">
      <w:pPr>
        <w:jc w:val="both"/>
        <w:rPr>
          <w:rFonts w:ascii="Cambria" w:hAnsi="Cambria"/>
          <w:color w:val="275317" w:themeColor="accent6" w:themeShade="80"/>
        </w:rPr>
      </w:pPr>
      <w:r>
        <w:rPr>
          <w:rFonts w:ascii="Cambria" w:hAnsi="Cambria"/>
          <w:color w:val="275317" w:themeColor="accent6" w:themeShade="80"/>
        </w:rPr>
        <w:t>Es necesario cumplir con los</w:t>
      </w:r>
      <w:r w:rsidRPr="00A71272">
        <w:rPr>
          <w:rFonts w:ascii="Cambria" w:hAnsi="Cambria"/>
          <w:color w:val="275317" w:themeColor="accent6" w:themeShade="80"/>
        </w:rPr>
        <w:t xml:space="preserve"> requerimientos técnicos de las luminarias </w:t>
      </w:r>
      <w:r>
        <w:rPr>
          <w:rFonts w:ascii="Cambria" w:hAnsi="Cambria"/>
          <w:color w:val="275317" w:themeColor="accent6" w:themeShade="80"/>
        </w:rPr>
        <w:t>establecidos en las tablas de la documentación de la licitación.</w:t>
      </w:r>
    </w:p>
    <w:p w14:paraId="7572A14D" w14:textId="77777777" w:rsidR="00891530" w:rsidRPr="00891530" w:rsidRDefault="00891530" w:rsidP="00E1521D">
      <w:pPr>
        <w:jc w:val="both"/>
      </w:pPr>
    </w:p>
    <w:p w14:paraId="49A2EB60" w14:textId="77777777" w:rsidR="00891530" w:rsidRPr="00891530" w:rsidRDefault="00891530" w:rsidP="00E1521D">
      <w:pPr>
        <w:jc w:val="both"/>
      </w:pPr>
    </w:p>
    <w:p w14:paraId="6EA8F2C4" w14:textId="1FA15466" w:rsidR="00891530" w:rsidRDefault="00891530" w:rsidP="00E1521D">
      <w:pPr>
        <w:jc w:val="both"/>
      </w:pPr>
    </w:p>
    <w:p w14:paraId="0B2F9956" w14:textId="77777777" w:rsidR="00053A45" w:rsidRPr="00891530" w:rsidRDefault="00053A45" w:rsidP="00E1521D">
      <w:pPr>
        <w:jc w:val="both"/>
      </w:pPr>
    </w:p>
    <w:p w14:paraId="62764C40" w14:textId="77777777" w:rsidR="00891530" w:rsidRPr="00604B4E" w:rsidRDefault="00891530" w:rsidP="00E1521D">
      <w:pPr>
        <w:jc w:val="both"/>
        <w:rPr>
          <w:b/>
          <w:bCs/>
        </w:rPr>
      </w:pPr>
      <w:r w:rsidRPr="00604B4E">
        <w:rPr>
          <w:b/>
          <w:bCs/>
        </w:rPr>
        <w:lastRenderedPageBreak/>
        <w:t>Consulta No. xxx Temperatura de color – tolerancias</w:t>
      </w:r>
    </w:p>
    <w:p w14:paraId="6F58279C" w14:textId="77777777" w:rsidR="00891530" w:rsidRPr="00604B4E" w:rsidRDefault="00891530" w:rsidP="00E1521D">
      <w:pPr>
        <w:jc w:val="both"/>
      </w:pPr>
      <w:r w:rsidRPr="00604B4E">
        <w:t>Se ha identificado una discrepancia entre los requisitos establecidos en los ítems 3.8 y 5.2 de las PDTG, donde se indican tolerancias distintas para la temperatura de color (3000K ±200K frente a 3000K ±300K).</w:t>
      </w:r>
    </w:p>
    <w:p w14:paraId="23F48F3F" w14:textId="77777777" w:rsidR="00891530" w:rsidRPr="00604B4E" w:rsidRDefault="00891530" w:rsidP="00E1521D">
      <w:pPr>
        <w:jc w:val="both"/>
      </w:pPr>
      <w:r w:rsidRPr="00604B4E">
        <w:t>Dado que esta tolerancia puede afectar a la validación del cumplimiento técnico, agradeceríamos confirmar:</w:t>
      </w:r>
    </w:p>
    <w:p w14:paraId="78283C39" w14:textId="77777777" w:rsidR="00891530" w:rsidRPr="00604B4E" w:rsidRDefault="00891530" w:rsidP="00E1521D">
      <w:pPr>
        <w:numPr>
          <w:ilvl w:val="0"/>
          <w:numId w:val="11"/>
        </w:numPr>
        <w:jc w:val="both"/>
      </w:pPr>
      <w:r w:rsidRPr="00604B4E">
        <w:t xml:space="preserve">Cuál de las dos tolerancias debe considerarse como criterio válido para la verificación del cumplimiento de la luminaria, </w:t>
      </w:r>
    </w:p>
    <w:p w14:paraId="05C96CDF" w14:textId="77777777" w:rsidR="00053A45" w:rsidRDefault="00053A45" w:rsidP="00E1521D">
      <w:pPr>
        <w:jc w:val="both"/>
        <w:rPr>
          <w:b/>
          <w:bCs/>
          <w:highlight w:val="green"/>
        </w:rPr>
      </w:pPr>
    </w:p>
    <w:p w14:paraId="3A9B5CD4" w14:textId="3E48B15F" w:rsidR="00891530" w:rsidRPr="00891530" w:rsidRDefault="00891530" w:rsidP="00E1521D">
      <w:pPr>
        <w:jc w:val="both"/>
        <w:rPr>
          <w:b/>
          <w:bCs/>
        </w:rPr>
      </w:pPr>
      <w:r w:rsidRPr="00053A45">
        <w:rPr>
          <w:b/>
          <w:bCs/>
          <w:highlight w:val="green"/>
        </w:rPr>
        <w:t>Respuesta:</w:t>
      </w:r>
    </w:p>
    <w:p w14:paraId="7545103F" w14:textId="7805CE67" w:rsidR="00891530" w:rsidRPr="00891530" w:rsidRDefault="00604B4E" w:rsidP="00E1521D">
      <w:pPr>
        <w:jc w:val="both"/>
        <w:rPr>
          <w:b/>
          <w:bCs/>
        </w:rPr>
      </w:pPr>
      <w:r>
        <w:rPr>
          <w:rFonts w:ascii="Cambria" w:hAnsi="Cambria"/>
          <w:color w:val="275317" w:themeColor="accent6" w:themeShade="80"/>
        </w:rPr>
        <w:t xml:space="preserve">Se considera como criterio valido la tolerancia de </w:t>
      </w:r>
      <w:r w:rsidRPr="00604B4E">
        <w:rPr>
          <w:rFonts w:ascii="Cambria" w:hAnsi="Cambria"/>
          <w:color w:val="275317" w:themeColor="accent6" w:themeShade="80"/>
        </w:rPr>
        <w:t>±</w:t>
      </w:r>
      <w:r>
        <w:rPr>
          <w:rFonts w:ascii="Cambria" w:hAnsi="Cambria"/>
          <w:color w:val="275317" w:themeColor="accent6" w:themeShade="80"/>
        </w:rPr>
        <w:t>300K.</w:t>
      </w:r>
    </w:p>
    <w:p w14:paraId="758D3BEB" w14:textId="0C804AA3" w:rsidR="00891530" w:rsidRDefault="00891530" w:rsidP="00E1521D">
      <w:pPr>
        <w:jc w:val="both"/>
        <w:rPr>
          <w:b/>
          <w:bCs/>
        </w:rPr>
      </w:pPr>
    </w:p>
    <w:p w14:paraId="30BC0AB6" w14:textId="77777777" w:rsidR="00A71272" w:rsidRPr="00891530" w:rsidRDefault="00A71272" w:rsidP="00E1521D">
      <w:pPr>
        <w:jc w:val="both"/>
        <w:rPr>
          <w:b/>
          <w:bCs/>
        </w:rPr>
      </w:pPr>
    </w:p>
    <w:p w14:paraId="46408A1A" w14:textId="77777777" w:rsidR="00891530" w:rsidRPr="00053A45" w:rsidRDefault="00891530" w:rsidP="00E1521D">
      <w:pPr>
        <w:jc w:val="both"/>
        <w:rPr>
          <w:b/>
          <w:bCs/>
        </w:rPr>
      </w:pPr>
      <w:r w:rsidRPr="00053A45">
        <w:rPr>
          <w:b/>
          <w:bCs/>
        </w:rPr>
        <w:t>Consulta No. XX Ensayos y certificaciones</w:t>
      </w:r>
    </w:p>
    <w:p w14:paraId="34FED84B" w14:textId="77777777" w:rsidR="00891530" w:rsidRPr="00053A45" w:rsidRDefault="00891530" w:rsidP="00E1521D">
      <w:pPr>
        <w:jc w:val="both"/>
      </w:pPr>
      <w:r w:rsidRPr="00053A45">
        <w:t>En relación con los ensayos requeridos para cada luminaria (PDTG ítem 9 / DDL 27.1), se establece la necesidad de presentar múltiples certificaciones emitidas por laboratorios acreditados.</w:t>
      </w:r>
    </w:p>
    <w:p w14:paraId="2FBC8EB6" w14:textId="77777777" w:rsidR="00891530" w:rsidRPr="00053A45" w:rsidRDefault="00891530" w:rsidP="00E1521D">
      <w:pPr>
        <w:jc w:val="both"/>
      </w:pPr>
      <w:r w:rsidRPr="00053A45">
        <w:t>Dado el número de potencias contempladas (15) y el número de ensayos exigidos, agradeceríamos confirmar:</w:t>
      </w:r>
    </w:p>
    <w:p w14:paraId="6FBBB14F" w14:textId="77777777" w:rsidR="00891530" w:rsidRPr="00053A45" w:rsidRDefault="00891530" w:rsidP="00E1521D">
      <w:pPr>
        <w:numPr>
          <w:ilvl w:val="0"/>
          <w:numId w:val="17"/>
        </w:numPr>
        <w:jc w:val="both"/>
      </w:pPr>
      <w:r w:rsidRPr="00053A45">
        <w:t xml:space="preserve">si se aceptan ensayos realizados sobre modelos representativos dentro de una misma familia de producto, </w:t>
      </w:r>
    </w:p>
    <w:p w14:paraId="0E8E11B3" w14:textId="77777777" w:rsidR="00891530" w:rsidRPr="00053A45" w:rsidRDefault="00891530" w:rsidP="00E1521D">
      <w:pPr>
        <w:numPr>
          <w:ilvl w:val="0"/>
          <w:numId w:val="17"/>
        </w:numPr>
        <w:jc w:val="both"/>
      </w:pPr>
      <w:r w:rsidRPr="00053A45">
        <w:t xml:space="preserve">Y, qué criterios técnicos deben cumplirse para justificar la validez de dicha extrapolación (por ejemplo: misma plataforma, óptica, driver, etc.). </w:t>
      </w:r>
    </w:p>
    <w:p w14:paraId="7B49A603" w14:textId="77777777" w:rsidR="00891530" w:rsidRPr="00891530" w:rsidRDefault="00891530" w:rsidP="00E1521D">
      <w:pPr>
        <w:jc w:val="both"/>
      </w:pPr>
      <w:r w:rsidRPr="00053A45">
        <w:t>Esta aclaración es esencial para definir correctamente el alcance documental de la oferta.</w:t>
      </w:r>
    </w:p>
    <w:p w14:paraId="5372C4D0" w14:textId="77777777" w:rsidR="00891530" w:rsidRPr="00891530" w:rsidRDefault="00891530" w:rsidP="00E1521D">
      <w:pPr>
        <w:jc w:val="both"/>
      </w:pPr>
    </w:p>
    <w:p w14:paraId="74F545FD" w14:textId="79CD7F36" w:rsidR="00891530" w:rsidRDefault="00891530" w:rsidP="00E1521D">
      <w:pPr>
        <w:jc w:val="both"/>
        <w:rPr>
          <w:b/>
          <w:bCs/>
        </w:rPr>
      </w:pPr>
      <w:r w:rsidRPr="00891530">
        <w:rPr>
          <w:b/>
          <w:bCs/>
        </w:rPr>
        <w:t>Respuesta:</w:t>
      </w:r>
    </w:p>
    <w:p w14:paraId="75EC9925" w14:textId="2D75D6EB" w:rsidR="00A71272" w:rsidRPr="00891530" w:rsidRDefault="00AE78D8" w:rsidP="00AE78D8">
      <w:pPr>
        <w:jc w:val="both"/>
      </w:pPr>
      <w:r w:rsidRPr="00AE78D8">
        <w:rPr>
          <w:rFonts w:ascii="Cambria" w:hAnsi="Cambria"/>
          <w:color w:val="275317" w:themeColor="accent6" w:themeShade="80"/>
        </w:rPr>
        <w:t>Se solicitarán los certificados para cada modelo de luminaria. Dentro de cada modelo, se deberán aportar los certificados correspondientes a la luminaria de mayor potencia para cada tamaño, así como para cada driver diferente utilizado dentro del mismo</w:t>
      </w:r>
      <w:r>
        <w:rPr>
          <w:rFonts w:ascii="Cambria" w:hAnsi="Cambria"/>
          <w:color w:val="275317" w:themeColor="accent6" w:themeShade="80"/>
        </w:rPr>
        <w:t xml:space="preserve"> tamaño.</w:t>
      </w:r>
    </w:p>
    <w:p w14:paraId="6ACE2786" w14:textId="77777777" w:rsidR="00891530" w:rsidRPr="00891530" w:rsidRDefault="00891530" w:rsidP="00E1521D">
      <w:pPr>
        <w:jc w:val="both"/>
        <w:rPr>
          <w:b/>
          <w:bCs/>
        </w:rPr>
      </w:pPr>
    </w:p>
    <w:p w14:paraId="01CF346C" w14:textId="77777777" w:rsidR="00891530" w:rsidRPr="00891530" w:rsidRDefault="00891530" w:rsidP="00E1521D">
      <w:pPr>
        <w:jc w:val="both"/>
      </w:pPr>
      <w:r w:rsidRPr="00891530">
        <w:rPr>
          <w:b/>
          <w:bCs/>
        </w:rPr>
        <w:t xml:space="preserve">Consulta No. XX EVALUACIÓN / FDL / PUNTAJE. Potencias no incluidas en FDL. </w:t>
      </w:r>
      <w:r w:rsidRPr="00891530">
        <w:t>Se observa que el cálculo del FDL considera únicamente potencias entre 30W–70W, mientras que el resto de las potencias (80W-240W) no tienen definido una ponderación.</w:t>
      </w:r>
    </w:p>
    <w:p w14:paraId="051AD21A" w14:textId="77777777" w:rsidR="00891530" w:rsidRPr="00891530" w:rsidRDefault="00891530" w:rsidP="00E1521D">
      <w:pPr>
        <w:numPr>
          <w:ilvl w:val="0"/>
          <w:numId w:val="21"/>
        </w:numPr>
        <w:jc w:val="both"/>
      </w:pPr>
      <w:r w:rsidRPr="00891530">
        <w:t>A efectos de hacer una valoración total, es necesario disponer de estos datos de ponderación para poder realizar el cálculo apropiado de la FDL.</w:t>
      </w:r>
    </w:p>
    <w:p w14:paraId="70FAF222" w14:textId="77777777" w:rsidR="00891530" w:rsidRPr="00891530" w:rsidRDefault="00891530" w:rsidP="00E1521D">
      <w:pPr>
        <w:numPr>
          <w:ilvl w:val="0"/>
          <w:numId w:val="21"/>
        </w:numPr>
        <w:jc w:val="both"/>
      </w:pPr>
      <w:r w:rsidRPr="00891530">
        <w:t>Entendemos que van a aportar dichos datos:</w:t>
      </w:r>
    </w:p>
    <w:p w14:paraId="3E02100D" w14:textId="372DFD9D" w:rsidR="00891530" w:rsidRDefault="00891530" w:rsidP="00E1521D">
      <w:pPr>
        <w:jc w:val="both"/>
      </w:pPr>
    </w:p>
    <w:tbl>
      <w:tblPr>
        <w:tblpPr w:leftFromText="141" w:rightFromText="141" w:vertAnchor="text" w:horzAnchor="page" w:tblpX="2756" w:tblpY="403"/>
        <w:tblW w:w="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7"/>
        <w:gridCol w:w="2127"/>
      </w:tblGrid>
      <w:tr w:rsidR="00A71272" w:rsidRPr="00A71272" w14:paraId="1AF4A957" w14:textId="77777777" w:rsidTr="00B8303B">
        <w:trPr>
          <w:trHeight w:val="360"/>
          <w:tblHeader/>
        </w:trPr>
        <w:tc>
          <w:tcPr>
            <w:tcW w:w="2017" w:type="dxa"/>
            <w:shd w:val="clear" w:color="E8F0FE" w:fill="E9F0F7"/>
            <w:hideMark/>
          </w:tcPr>
          <w:p w14:paraId="231E75C5" w14:textId="77777777" w:rsidR="00A71272" w:rsidRPr="00A71272" w:rsidRDefault="00A71272" w:rsidP="00E1521D">
            <w:pPr>
              <w:jc w:val="both"/>
              <w:rPr>
                <w:b/>
                <w:bCs/>
              </w:rPr>
            </w:pPr>
            <w:r w:rsidRPr="00A71272">
              <w:rPr>
                <w:b/>
                <w:bCs/>
              </w:rPr>
              <w:t>Potencia luminaria</w:t>
            </w:r>
          </w:p>
        </w:tc>
        <w:tc>
          <w:tcPr>
            <w:tcW w:w="2127" w:type="dxa"/>
            <w:shd w:val="clear" w:color="E8F0FE" w:fill="E9F0F7"/>
            <w:hideMark/>
          </w:tcPr>
          <w:p w14:paraId="6298CCC6" w14:textId="77777777" w:rsidR="00A71272" w:rsidRPr="00A71272" w:rsidRDefault="00A71272" w:rsidP="00E1521D">
            <w:pPr>
              <w:jc w:val="both"/>
              <w:rPr>
                <w:b/>
                <w:bCs/>
              </w:rPr>
            </w:pPr>
            <w:r w:rsidRPr="00A71272">
              <w:rPr>
                <w:b/>
                <w:bCs/>
              </w:rPr>
              <w:t>Ponderación</w:t>
            </w:r>
          </w:p>
        </w:tc>
      </w:tr>
      <w:tr w:rsidR="00A71272" w:rsidRPr="00A71272" w14:paraId="59D0F0ED" w14:textId="77777777" w:rsidTr="00B8303B">
        <w:trPr>
          <w:trHeight w:val="360"/>
        </w:trPr>
        <w:tc>
          <w:tcPr>
            <w:tcW w:w="2017" w:type="dxa"/>
            <w:hideMark/>
          </w:tcPr>
          <w:p w14:paraId="3711272D" w14:textId="77777777" w:rsidR="00A71272" w:rsidRPr="00A71272" w:rsidRDefault="00A71272" w:rsidP="00E1521D">
            <w:pPr>
              <w:jc w:val="both"/>
              <w:rPr>
                <w:b/>
                <w:bCs/>
              </w:rPr>
            </w:pPr>
            <w:r w:rsidRPr="00A71272">
              <w:rPr>
                <w:b/>
                <w:bCs/>
              </w:rPr>
              <w:t>30W</w:t>
            </w:r>
          </w:p>
        </w:tc>
        <w:tc>
          <w:tcPr>
            <w:tcW w:w="2127" w:type="dxa"/>
            <w:hideMark/>
          </w:tcPr>
          <w:p w14:paraId="2818C882" w14:textId="77777777" w:rsidR="00A71272" w:rsidRPr="00A71272" w:rsidRDefault="00A71272" w:rsidP="00E1521D">
            <w:pPr>
              <w:jc w:val="both"/>
            </w:pPr>
            <w:r w:rsidRPr="00A71272">
              <w:t>0,14</w:t>
            </w:r>
          </w:p>
        </w:tc>
      </w:tr>
      <w:tr w:rsidR="00A71272" w:rsidRPr="00A71272" w14:paraId="27AFB416" w14:textId="77777777" w:rsidTr="00B8303B">
        <w:trPr>
          <w:trHeight w:val="360"/>
        </w:trPr>
        <w:tc>
          <w:tcPr>
            <w:tcW w:w="2017" w:type="dxa"/>
            <w:hideMark/>
          </w:tcPr>
          <w:p w14:paraId="3FB79BCC" w14:textId="77777777" w:rsidR="00A71272" w:rsidRPr="00A71272" w:rsidRDefault="00A71272" w:rsidP="00E1521D">
            <w:pPr>
              <w:jc w:val="both"/>
              <w:rPr>
                <w:b/>
                <w:bCs/>
              </w:rPr>
            </w:pPr>
            <w:r w:rsidRPr="00A71272">
              <w:rPr>
                <w:b/>
                <w:bCs/>
              </w:rPr>
              <w:t>40W</w:t>
            </w:r>
          </w:p>
        </w:tc>
        <w:tc>
          <w:tcPr>
            <w:tcW w:w="2127" w:type="dxa"/>
            <w:hideMark/>
          </w:tcPr>
          <w:p w14:paraId="01E0C9F0" w14:textId="77777777" w:rsidR="00A71272" w:rsidRPr="00A71272" w:rsidRDefault="00A71272" w:rsidP="00E1521D">
            <w:pPr>
              <w:jc w:val="both"/>
            </w:pPr>
            <w:r w:rsidRPr="00A71272">
              <w:t>0,13</w:t>
            </w:r>
          </w:p>
        </w:tc>
      </w:tr>
      <w:tr w:rsidR="00A71272" w:rsidRPr="00A71272" w14:paraId="64FF6E2E" w14:textId="77777777" w:rsidTr="00B8303B">
        <w:trPr>
          <w:trHeight w:val="360"/>
        </w:trPr>
        <w:tc>
          <w:tcPr>
            <w:tcW w:w="2017" w:type="dxa"/>
            <w:hideMark/>
          </w:tcPr>
          <w:p w14:paraId="1A9C76CE" w14:textId="77777777" w:rsidR="00A71272" w:rsidRPr="00A71272" w:rsidRDefault="00A71272" w:rsidP="00E1521D">
            <w:pPr>
              <w:jc w:val="both"/>
              <w:rPr>
                <w:b/>
                <w:bCs/>
              </w:rPr>
            </w:pPr>
            <w:r w:rsidRPr="00A71272">
              <w:rPr>
                <w:b/>
                <w:bCs/>
              </w:rPr>
              <w:t>50W</w:t>
            </w:r>
          </w:p>
        </w:tc>
        <w:tc>
          <w:tcPr>
            <w:tcW w:w="2127" w:type="dxa"/>
            <w:hideMark/>
          </w:tcPr>
          <w:p w14:paraId="7F8679E6" w14:textId="77777777" w:rsidR="00A71272" w:rsidRPr="00A71272" w:rsidRDefault="00A71272" w:rsidP="00E1521D">
            <w:pPr>
              <w:jc w:val="both"/>
            </w:pPr>
            <w:r w:rsidRPr="00A71272">
              <w:t>0,25</w:t>
            </w:r>
          </w:p>
        </w:tc>
      </w:tr>
      <w:tr w:rsidR="00A71272" w:rsidRPr="00A71272" w14:paraId="333EB306" w14:textId="77777777" w:rsidTr="00B8303B">
        <w:trPr>
          <w:trHeight w:val="360"/>
        </w:trPr>
        <w:tc>
          <w:tcPr>
            <w:tcW w:w="2017" w:type="dxa"/>
            <w:hideMark/>
          </w:tcPr>
          <w:p w14:paraId="3632BDD8" w14:textId="77777777" w:rsidR="00A71272" w:rsidRPr="00A71272" w:rsidRDefault="00A71272" w:rsidP="00E1521D">
            <w:pPr>
              <w:jc w:val="both"/>
              <w:rPr>
                <w:b/>
                <w:bCs/>
              </w:rPr>
            </w:pPr>
            <w:r w:rsidRPr="00A71272">
              <w:rPr>
                <w:b/>
                <w:bCs/>
              </w:rPr>
              <w:t>60W</w:t>
            </w:r>
          </w:p>
        </w:tc>
        <w:tc>
          <w:tcPr>
            <w:tcW w:w="2127" w:type="dxa"/>
            <w:hideMark/>
          </w:tcPr>
          <w:p w14:paraId="53A9C6DB" w14:textId="77777777" w:rsidR="00A71272" w:rsidRPr="00A71272" w:rsidRDefault="00A71272" w:rsidP="00E1521D">
            <w:pPr>
              <w:jc w:val="both"/>
              <w:rPr>
                <w:b/>
                <w:bCs/>
              </w:rPr>
            </w:pPr>
            <w:r w:rsidRPr="00A71272">
              <w:rPr>
                <w:b/>
                <w:bCs/>
              </w:rPr>
              <w:t>0,32</w:t>
            </w:r>
          </w:p>
        </w:tc>
      </w:tr>
      <w:tr w:rsidR="00A71272" w:rsidRPr="00A71272" w14:paraId="5D430FF0" w14:textId="77777777" w:rsidTr="00B8303B">
        <w:trPr>
          <w:trHeight w:val="285"/>
        </w:trPr>
        <w:tc>
          <w:tcPr>
            <w:tcW w:w="2017" w:type="dxa"/>
            <w:hideMark/>
          </w:tcPr>
          <w:p w14:paraId="0766C380" w14:textId="77777777" w:rsidR="00A71272" w:rsidRPr="00A71272" w:rsidRDefault="00A71272" w:rsidP="00E1521D">
            <w:pPr>
              <w:jc w:val="both"/>
              <w:rPr>
                <w:b/>
                <w:bCs/>
              </w:rPr>
            </w:pPr>
            <w:r w:rsidRPr="00A71272">
              <w:rPr>
                <w:b/>
                <w:bCs/>
              </w:rPr>
              <w:t>70W</w:t>
            </w:r>
          </w:p>
        </w:tc>
        <w:tc>
          <w:tcPr>
            <w:tcW w:w="2127" w:type="dxa"/>
            <w:hideMark/>
          </w:tcPr>
          <w:p w14:paraId="0C66C292" w14:textId="77777777" w:rsidR="00A71272" w:rsidRPr="00A71272" w:rsidRDefault="00A71272" w:rsidP="00E1521D">
            <w:pPr>
              <w:jc w:val="both"/>
            </w:pPr>
            <w:r w:rsidRPr="00A71272">
              <w:t>0,16</w:t>
            </w:r>
          </w:p>
        </w:tc>
      </w:tr>
      <w:tr w:rsidR="00A71272" w:rsidRPr="00A71272" w14:paraId="71499807" w14:textId="77777777" w:rsidTr="00B8303B">
        <w:trPr>
          <w:trHeight w:val="285"/>
        </w:trPr>
        <w:tc>
          <w:tcPr>
            <w:tcW w:w="2017" w:type="dxa"/>
          </w:tcPr>
          <w:p w14:paraId="70C74D2A" w14:textId="77777777" w:rsidR="00A71272" w:rsidRPr="00A71272" w:rsidRDefault="00A71272" w:rsidP="00E1521D">
            <w:pPr>
              <w:jc w:val="both"/>
              <w:rPr>
                <w:b/>
                <w:bCs/>
              </w:rPr>
            </w:pPr>
            <w:r w:rsidRPr="00A71272">
              <w:rPr>
                <w:b/>
                <w:bCs/>
              </w:rPr>
              <w:lastRenderedPageBreak/>
              <w:t>80W</w:t>
            </w:r>
          </w:p>
        </w:tc>
        <w:tc>
          <w:tcPr>
            <w:tcW w:w="2127" w:type="dxa"/>
          </w:tcPr>
          <w:p w14:paraId="28E84270" w14:textId="77777777" w:rsidR="00A71272" w:rsidRPr="00A71272" w:rsidRDefault="00A71272" w:rsidP="00E1521D">
            <w:pPr>
              <w:jc w:val="both"/>
            </w:pPr>
          </w:p>
        </w:tc>
      </w:tr>
      <w:tr w:rsidR="00A71272" w:rsidRPr="00A71272" w14:paraId="204EB5D1" w14:textId="77777777" w:rsidTr="00B8303B">
        <w:trPr>
          <w:trHeight w:val="285"/>
        </w:trPr>
        <w:tc>
          <w:tcPr>
            <w:tcW w:w="2017" w:type="dxa"/>
          </w:tcPr>
          <w:p w14:paraId="2F5A407A" w14:textId="77777777" w:rsidR="00A71272" w:rsidRPr="00A71272" w:rsidRDefault="00A71272" w:rsidP="00E1521D">
            <w:pPr>
              <w:jc w:val="both"/>
              <w:rPr>
                <w:b/>
                <w:bCs/>
              </w:rPr>
            </w:pPr>
            <w:r w:rsidRPr="00A71272">
              <w:rPr>
                <w:b/>
                <w:bCs/>
              </w:rPr>
              <w:t>90W</w:t>
            </w:r>
          </w:p>
        </w:tc>
        <w:tc>
          <w:tcPr>
            <w:tcW w:w="2127" w:type="dxa"/>
          </w:tcPr>
          <w:p w14:paraId="34684C95" w14:textId="77777777" w:rsidR="00A71272" w:rsidRPr="00A71272" w:rsidRDefault="00A71272" w:rsidP="00E1521D">
            <w:pPr>
              <w:jc w:val="both"/>
            </w:pPr>
          </w:p>
        </w:tc>
      </w:tr>
      <w:tr w:rsidR="00A71272" w:rsidRPr="00A71272" w14:paraId="25B8A6E7" w14:textId="77777777" w:rsidTr="00B8303B">
        <w:trPr>
          <w:trHeight w:val="285"/>
        </w:trPr>
        <w:tc>
          <w:tcPr>
            <w:tcW w:w="2017" w:type="dxa"/>
          </w:tcPr>
          <w:p w14:paraId="06A1C38F" w14:textId="77777777" w:rsidR="00A71272" w:rsidRPr="00A71272" w:rsidRDefault="00A71272" w:rsidP="00E1521D">
            <w:pPr>
              <w:jc w:val="both"/>
              <w:rPr>
                <w:b/>
                <w:bCs/>
              </w:rPr>
            </w:pPr>
            <w:r w:rsidRPr="00A71272">
              <w:rPr>
                <w:b/>
                <w:bCs/>
              </w:rPr>
              <w:t>100W</w:t>
            </w:r>
          </w:p>
        </w:tc>
        <w:tc>
          <w:tcPr>
            <w:tcW w:w="2127" w:type="dxa"/>
          </w:tcPr>
          <w:p w14:paraId="06D7F402" w14:textId="77777777" w:rsidR="00A71272" w:rsidRPr="00A71272" w:rsidRDefault="00A71272" w:rsidP="00E1521D">
            <w:pPr>
              <w:jc w:val="both"/>
            </w:pPr>
          </w:p>
        </w:tc>
      </w:tr>
      <w:tr w:rsidR="00A71272" w:rsidRPr="00A71272" w14:paraId="10A857EB" w14:textId="77777777" w:rsidTr="00B8303B">
        <w:trPr>
          <w:trHeight w:val="285"/>
        </w:trPr>
        <w:tc>
          <w:tcPr>
            <w:tcW w:w="2017" w:type="dxa"/>
          </w:tcPr>
          <w:p w14:paraId="37E7ABE8" w14:textId="77777777" w:rsidR="00A71272" w:rsidRPr="00A71272" w:rsidRDefault="00A71272" w:rsidP="00E1521D">
            <w:pPr>
              <w:jc w:val="both"/>
              <w:rPr>
                <w:b/>
                <w:bCs/>
              </w:rPr>
            </w:pPr>
            <w:r w:rsidRPr="00A71272">
              <w:rPr>
                <w:b/>
                <w:bCs/>
              </w:rPr>
              <w:t>110W</w:t>
            </w:r>
          </w:p>
        </w:tc>
        <w:tc>
          <w:tcPr>
            <w:tcW w:w="2127" w:type="dxa"/>
          </w:tcPr>
          <w:p w14:paraId="4DBAC1C4" w14:textId="77777777" w:rsidR="00A71272" w:rsidRPr="00A71272" w:rsidRDefault="00A71272" w:rsidP="00E1521D">
            <w:pPr>
              <w:jc w:val="both"/>
            </w:pPr>
          </w:p>
        </w:tc>
      </w:tr>
      <w:tr w:rsidR="00A71272" w:rsidRPr="00A71272" w14:paraId="6E3456E2" w14:textId="77777777" w:rsidTr="00B8303B">
        <w:trPr>
          <w:trHeight w:val="285"/>
        </w:trPr>
        <w:tc>
          <w:tcPr>
            <w:tcW w:w="2017" w:type="dxa"/>
          </w:tcPr>
          <w:p w14:paraId="25419270" w14:textId="77777777" w:rsidR="00A71272" w:rsidRPr="00A71272" w:rsidRDefault="00A71272" w:rsidP="00E1521D">
            <w:pPr>
              <w:jc w:val="both"/>
              <w:rPr>
                <w:b/>
                <w:bCs/>
              </w:rPr>
            </w:pPr>
            <w:r w:rsidRPr="00A71272">
              <w:rPr>
                <w:b/>
                <w:bCs/>
              </w:rPr>
              <w:t>120W</w:t>
            </w:r>
          </w:p>
        </w:tc>
        <w:tc>
          <w:tcPr>
            <w:tcW w:w="2127" w:type="dxa"/>
          </w:tcPr>
          <w:p w14:paraId="5F9B91C7" w14:textId="77777777" w:rsidR="00A71272" w:rsidRPr="00A71272" w:rsidRDefault="00A71272" w:rsidP="00E1521D">
            <w:pPr>
              <w:jc w:val="both"/>
            </w:pPr>
          </w:p>
        </w:tc>
      </w:tr>
      <w:tr w:rsidR="00A71272" w:rsidRPr="00A71272" w14:paraId="0EEA232F" w14:textId="77777777" w:rsidTr="00B8303B">
        <w:trPr>
          <w:trHeight w:val="285"/>
        </w:trPr>
        <w:tc>
          <w:tcPr>
            <w:tcW w:w="2017" w:type="dxa"/>
          </w:tcPr>
          <w:p w14:paraId="68F602E7" w14:textId="77777777" w:rsidR="00A71272" w:rsidRPr="00A71272" w:rsidRDefault="00A71272" w:rsidP="00E1521D">
            <w:pPr>
              <w:jc w:val="both"/>
              <w:rPr>
                <w:b/>
                <w:bCs/>
              </w:rPr>
            </w:pPr>
            <w:r w:rsidRPr="00A71272">
              <w:rPr>
                <w:b/>
                <w:bCs/>
              </w:rPr>
              <w:t>150W</w:t>
            </w:r>
          </w:p>
        </w:tc>
        <w:tc>
          <w:tcPr>
            <w:tcW w:w="2127" w:type="dxa"/>
          </w:tcPr>
          <w:p w14:paraId="40DA39D9" w14:textId="77777777" w:rsidR="00A71272" w:rsidRPr="00A71272" w:rsidRDefault="00A71272" w:rsidP="00E1521D">
            <w:pPr>
              <w:jc w:val="both"/>
            </w:pPr>
          </w:p>
        </w:tc>
      </w:tr>
      <w:tr w:rsidR="00A71272" w:rsidRPr="00A71272" w14:paraId="7196D7EE" w14:textId="77777777" w:rsidTr="00B8303B">
        <w:trPr>
          <w:trHeight w:val="285"/>
        </w:trPr>
        <w:tc>
          <w:tcPr>
            <w:tcW w:w="2017" w:type="dxa"/>
          </w:tcPr>
          <w:p w14:paraId="47548463" w14:textId="77777777" w:rsidR="00A71272" w:rsidRPr="00A71272" w:rsidRDefault="00A71272" w:rsidP="00E1521D">
            <w:pPr>
              <w:jc w:val="both"/>
              <w:rPr>
                <w:b/>
                <w:bCs/>
              </w:rPr>
            </w:pPr>
            <w:r w:rsidRPr="00A71272">
              <w:rPr>
                <w:b/>
                <w:bCs/>
              </w:rPr>
              <w:t>160W</w:t>
            </w:r>
          </w:p>
        </w:tc>
        <w:tc>
          <w:tcPr>
            <w:tcW w:w="2127" w:type="dxa"/>
          </w:tcPr>
          <w:p w14:paraId="10679A4B" w14:textId="77777777" w:rsidR="00A71272" w:rsidRPr="00A71272" w:rsidRDefault="00A71272" w:rsidP="00E1521D">
            <w:pPr>
              <w:jc w:val="both"/>
            </w:pPr>
          </w:p>
        </w:tc>
      </w:tr>
      <w:tr w:rsidR="00A71272" w:rsidRPr="00A71272" w14:paraId="1ED3D3C2" w14:textId="77777777" w:rsidTr="00B8303B">
        <w:trPr>
          <w:trHeight w:val="285"/>
        </w:trPr>
        <w:tc>
          <w:tcPr>
            <w:tcW w:w="2017" w:type="dxa"/>
          </w:tcPr>
          <w:p w14:paraId="42E6B781" w14:textId="77777777" w:rsidR="00A71272" w:rsidRPr="00A71272" w:rsidRDefault="00A71272" w:rsidP="00E1521D">
            <w:pPr>
              <w:jc w:val="both"/>
              <w:rPr>
                <w:b/>
                <w:bCs/>
              </w:rPr>
            </w:pPr>
            <w:r w:rsidRPr="00A71272">
              <w:rPr>
                <w:b/>
                <w:bCs/>
              </w:rPr>
              <w:t>180W</w:t>
            </w:r>
          </w:p>
        </w:tc>
        <w:tc>
          <w:tcPr>
            <w:tcW w:w="2127" w:type="dxa"/>
          </w:tcPr>
          <w:p w14:paraId="281A9506" w14:textId="77777777" w:rsidR="00A71272" w:rsidRPr="00A71272" w:rsidRDefault="00A71272" w:rsidP="00E1521D">
            <w:pPr>
              <w:jc w:val="both"/>
            </w:pPr>
          </w:p>
        </w:tc>
      </w:tr>
      <w:tr w:rsidR="00A71272" w:rsidRPr="00A71272" w14:paraId="637814CE" w14:textId="77777777" w:rsidTr="00B8303B">
        <w:trPr>
          <w:trHeight w:val="285"/>
        </w:trPr>
        <w:tc>
          <w:tcPr>
            <w:tcW w:w="2017" w:type="dxa"/>
          </w:tcPr>
          <w:p w14:paraId="3F6F8561" w14:textId="77777777" w:rsidR="00A71272" w:rsidRPr="00A71272" w:rsidRDefault="00A71272" w:rsidP="00E1521D">
            <w:pPr>
              <w:jc w:val="both"/>
              <w:rPr>
                <w:b/>
                <w:bCs/>
              </w:rPr>
            </w:pPr>
            <w:r w:rsidRPr="00A71272">
              <w:rPr>
                <w:b/>
                <w:bCs/>
              </w:rPr>
              <w:t>200W</w:t>
            </w:r>
          </w:p>
        </w:tc>
        <w:tc>
          <w:tcPr>
            <w:tcW w:w="2127" w:type="dxa"/>
          </w:tcPr>
          <w:p w14:paraId="345CB427" w14:textId="77777777" w:rsidR="00A71272" w:rsidRPr="00A71272" w:rsidRDefault="00A71272" w:rsidP="00E1521D">
            <w:pPr>
              <w:jc w:val="both"/>
            </w:pPr>
          </w:p>
        </w:tc>
      </w:tr>
      <w:tr w:rsidR="00A71272" w:rsidRPr="00A71272" w14:paraId="1F983666" w14:textId="77777777" w:rsidTr="00B8303B">
        <w:trPr>
          <w:trHeight w:val="285"/>
        </w:trPr>
        <w:tc>
          <w:tcPr>
            <w:tcW w:w="2017" w:type="dxa"/>
          </w:tcPr>
          <w:p w14:paraId="10C31E79" w14:textId="77777777" w:rsidR="00A71272" w:rsidRPr="00A71272" w:rsidRDefault="00A71272" w:rsidP="00E1521D">
            <w:pPr>
              <w:jc w:val="both"/>
              <w:rPr>
                <w:b/>
                <w:bCs/>
              </w:rPr>
            </w:pPr>
            <w:r w:rsidRPr="00A71272">
              <w:rPr>
                <w:b/>
                <w:bCs/>
              </w:rPr>
              <w:t>240W</w:t>
            </w:r>
          </w:p>
        </w:tc>
        <w:tc>
          <w:tcPr>
            <w:tcW w:w="2127" w:type="dxa"/>
          </w:tcPr>
          <w:p w14:paraId="2874B032" w14:textId="77777777" w:rsidR="00A71272" w:rsidRPr="00A71272" w:rsidRDefault="00A71272" w:rsidP="00E1521D">
            <w:pPr>
              <w:jc w:val="both"/>
            </w:pPr>
          </w:p>
        </w:tc>
      </w:tr>
    </w:tbl>
    <w:p w14:paraId="7A67508A" w14:textId="6889BC89" w:rsidR="00A71272" w:rsidRDefault="00A71272" w:rsidP="00E1521D">
      <w:pPr>
        <w:jc w:val="both"/>
      </w:pPr>
    </w:p>
    <w:p w14:paraId="0712BE19" w14:textId="77777777" w:rsidR="00A71272" w:rsidRPr="00891530" w:rsidRDefault="00A71272" w:rsidP="00E1521D">
      <w:pPr>
        <w:jc w:val="both"/>
      </w:pPr>
    </w:p>
    <w:p w14:paraId="702E8568" w14:textId="77777777" w:rsidR="00891530" w:rsidRPr="00891530" w:rsidRDefault="00891530" w:rsidP="00E1521D">
      <w:pPr>
        <w:jc w:val="both"/>
        <w:rPr>
          <w:b/>
          <w:bCs/>
        </w:rPr>
      </w:pPr>
    </w:p>
    <w:p w14:paraId="43C0D9F2" w14:textId="77777777" w:rsidR="00891530" w:rsidRPr="00891530" w:rsidRDefault="00891530" w:rsidP="00E1521D">
      <w:pPr>
        <w:jc w:val="both"/>
        <w:rPr>
          <w:b/>
          <w:bCs/>
        </w:rPr>
      </w:pPr>
    </w:p>
    <w:p w14:paraId="5875F9CC" w14:textId="77777777" w:rsidR="00891530" w:rsidRPr="00891530" w:rsidRDefault="00891530" w:rsidP="00E1521D">
      <w:pPr>
        <w:jc w:val="both"/>
        <w:rPr>
          <w:b/>
          <w:bCs/>
        </w:rPr>
      </w:pPr>
    </w:p>
    <w:p w14:paraId="40FCDBA1" w14:textId="77777777" w:rsidR="00891530" w:rsidRPr="00891530" w:rsidRDefault="00891530" w:rsidP="00E1521D">
      <w:pPr>
        <w:jc w:val="both"/>
        <w:rPr>
          <w:b/>
          <w:bCs/>
        </w:rPr>
      </w:pPr>
    </w:p>
    <w:p w14:paraId="3F828522" w14:textId="77777777" w:rsidR="00891530" w:rsidRPr="00891530" w:rsidRDefault="00891530" w:rsidP="00E1521D">
      <w:pPr>
        <w:jc w:val="both"/>
        <w:rPr>
          <w:b/>
          <w:bCs/>
        </w:rPr>
      </w:pPr>
    </w:p>
    <w:p w14:paraId="0D3A346F" w14:textId="77777777" w:rsidR="00891530" w:rsidRPr="00891530" w:rsidRDefault="00891530" w:rsidP="00E1521D">
      <w:pPr>
        <w:jc w:val="both"/>
        <w:rPr>
          <w:b/>
          <w:bCs/>
        </w:rPr>
      </w:pPr>
    </w:p>
    <w:p w14:paraId="0CFA39F4" w14:textId="77777777" w:rsidR="00891530" w:rsidRPr="00891530" w:rsidRDefault="00891530" w:rsidP="00E1521D">
      <w:pPr>
        <w:jc w:val="both"/>
        <w:rPr>
          <w:b/>
          <w:bCs/>
        </w:rPr>
      </w:pPr>
    </w:p>
    <w:p w14:paraId="768DFEE2" w14:textId="77777777" w:rsidR="00891530" w:rsidRPr="00891530" w:rsidRDefault="00891530" w:rsidP="00E1521D">
      <w:pPr>
        <w:jc w:val="both"/>
        <w:rPr>
          <w:b/>
          <w:bCs/>
        </w:rPr>
      </w:pPr>
    </w:p>
    <w:p w14:paraId="40781B9D" w14:textId="77777777" w:rsidR="00891530" w:rsidRPr="00891530" w:rsidRDefault="00891530" w:rsidP="00E1521D">
      <w:pPr>
        <w:jc w:val="both"/>
        <w:rPr>
          <w:b/>
          <w:bCs/>
        </w:rPr>
      </w:pPr>
    </w:p>
    <w:p w14:paraId="5AC82515" w14:textId="77777777" w:rsidR="00891530" w:rsidRPr="00891530" w:rsidRDefault="00891530" w:rsidP="00E1521D">
      <w:pPr>
        <w:jc w:val="both"/>
        <w:rPr>
          <w:b/>
          <w:bCs/>
        </w:rPr>
      </w:pPr>
    </w:p>
    <w:p w14:paraId="60543A02" w14:textId="77777777" w:rsidR="00A71272" w:rsidRDefault="00A71272" w:rsidP="00E1521D">
      <w:pPr>
        <w:jc w:val="both"/>
        <w:rPr>
          <w:b/>
          <w:bCs/>
        </w:rPr>
      </w:pPr>
    </w:p>
    <w:p w14:paraId="78DEF37D" w14:textId="65EA15D3" w:rsidR="00891530" w:rsidRPr="00891530" w:rsidRDefault="00891530" w:rsidP="00E1521D">
      <w:pPr>
        <w:jc w:val="both"/>
        <w:rPr>
          <w:b/>
          <w:bCs/>
        </w:rPr>
      </w:pPr>
      <w:r w:rsidRPr="00891530">
        <w:rPr>
          <w:b/>
          <w:bCs/>
        </w:rPr>
        <w:t>Respuesta:</w:t>
      </w:r>
    </w:p>
    <w:p w14:paraId="1C300DC7" w14:textId="0D9E575F" w:rsidR="00891530" w:rsidRPr="00891530" w:rsidRDefault="00EC6AF1" w:rsidP="00E1521D">
      <w:pPr>
        <w:jc w:val="both"/>
        <w:rPr>
          <w:b/>
          <w:bCs/>
        </w:rPr>
      </w:pPr>
      <w:r>
        <w:rPr>
          <w:rFonts w:ascii="Cambria" w:hAnsi="Cambria"/>
          <w:color w:val="275317" w:themeColor="accent6" w:themeShade="80"/>
        </w:rPr>
        <w:t>Este factor se mantiene en virtud del universo de las luminarias.</w:t>
      </w:r>
    </w:p>
    <w:p w14:paraId="1C9324DB" w14:textId="77777777" w:rsidR="00891530" w:rsidRPr="00891530" w:rsidRDefault="00891530" w:rsidP="00E1521D">
      <w:pPr>
        <w:jc w:val="both"/>
        <w:rPr>
          <w:b/>
          <w:bCs/>
        </w:rPr>
      </w:pPr>
    </w:p>
    <w:p w14:paraId="53F99F07" w14:textId="77777777" w:rsidR="00891530" w:rsidRPr="00891530" w:rsidRDefault="00891530" w:rsidP="00E1521D">
      <w:pPr>
        <w:jc w:val="both"/>
        <w:rPr>
          <w:b/>
          <w:bCs/>
        </w:rPr>
      </w:pPr>
      <w:r w:rsidRPr="00891530">
        <w:rPr>
          <w:b/>
          <w:bCs/>
        </w:rPr>
        <w:t>Consulta No. XX. Experiencia en consorcios (APCA)</w:t>
      </w:r>
    </w:p>
    <w:p w14:paraId="2A56B599" w14:textId="77777777" w:rsidR="00891530" w:rsidRPr="00891530" w:rsidRDefault="00891530" w:rsidP="00E1521D">
      <w:pPr>
        <w:jc w:val="both"/>
      </w:pPr>
      <w:r w:rsidRPr="00891530">
        <w:t xml:space="preserve">En relación con los requisitos de experiencia técnica previa, y en el caso de participación mediante APCA, resaltar los siguientes comentarios </w:t>
      </w:r>
    </w:p>
    <w:p w14:paraId="5B817131" w14:textId="77777777" w:rsidR="00891530" w:rsidRPr="00891530" w:rsidRDefault="00891530" w:rsidP="00E1521D">
      <w:pPr>
        <w:numPr>
          <w:ilvl w:val="0"/>
          <w:numId w:val="22"/>
        </w:numPr>
        <w:jc w:val="both"/>
      </w:pPr>
      <w:r w:rsidRPr="00891530">
        <w:t>La experiencia técnica de 250.000 luminarias instaladas no está correlacionada con el volumen de cada lote (menor de 70.000luminarias) y claramente limita la competencia al no existir proyectos de la dimensión requerida en el mercado.</w:t>
      </w:r>
    </w:p>
    <w:p w14:paraId="0FE05100" w14:textId="77777777" w:rsidR="00891530" w:rsidRPr="00891530" w:rsidRDefault="00891530" w:rsidP="00E1521D">
      <w:pPr>
        <w:jc w:val="both"/>
      </w:pPr>
      <w:r w:rsidRPr="00891530">
        <w:t>Agradeceríamos confirmar:</w:t>
      </w:r>
    </w:p>
    <w:p w14:paraId="2B902B91" w14:textId="77777777" w:rsidR="00891530" w:rsidRPr="00891530" w:rsidRDefault="00891530" w:rsidP="00E1521D">
      <w:pPr>
        <w:numPr>
          <w:ilvl w:val="0"/>
          <w:numId w:val="18"/>
        </w:numPr>
        <w:jc w:val="both"/>
      </w:pPr>
      <w:r w:rsidRPr="00891530">
        <w:t xml:space="preserve">Si la experiencia requerida (número de proyectos y volumen de luminarias) puede acreditarse mediante la suma de la experiencia de los distintos miembros del consorcio, </w:t>
      </w:r>
    </w:p>
    <w:p w14:paraId="54E426DA" w14:textId="77777777" w:rsidR="00891530" w:rsidRPr="00891530" w:rsidRDefault="00891530" w:rsidP="00E1521D">
      <w:pPr>
        <w:numPr>
          <w:ilvl w:val="0"/>
          <w:numId w:val="18"/>
        </w:numPr>
        <w:jc w:val="both"/>
      </w:pPr>
      <w:r w:rsidRPr="00891530">
        <w:t>Si la experiencia requerida (número de proyectos y volumen de luminarias) puede acreditarse mediante proyectos que este en curso de ejecución; no únicamente finalizados, y si se consideran los contratos de mantenimiento de alumbrado público.</w:t>
      </w:r>
    </w:p>
    <w:p w14:paraId="32C2790A" w14:textId="77777777" w:rsidR="00053A45" w:rsidRDefault="00053A45" w:rsidP="00E1521D">
      <w:pPr>
        <w:jc w:val="both"/>
        <w:rPr>
          <w:b/>
          <w:bCs/>
        </w:rPr>
      </w:pPr>
    </w:p>
    <w:p w14:paraId="4FB3567B" w14:textId="06C4461D" w:rsidR="00891530" w:rsidRPr="00891530" w:rsidRDefault="00891530" w:rsidP="00E1521D">
      <w:pPr>
        <w:jc w:val="both"/>
        <w:rPr>
          <w:b/>
          <w:bCs/>
        </w:rPr>
      </w:pPr>
      <w:r w:rsidRPr="00053A45">
        <w:rPr>
          <w:b/>
          <w:bCs/>
          <w:highlight w:val="green"/>
        </w:rPr>
        <w:t>Respuesta:</w:t>
      </w:r>
    </w:p>
    <w:p w14:paraId="2E098BFE" w14:textId="70E1A3D1" w:rsidR="00891530" w:rsidRDefault="00EE5093" w:rsidP="00E1521D">
      <w:pPr>
        <w:jc w:val="both"/>
        <w:rPr>
          <w:rFonts w:ascii="Cambria" w:hAnsi="Cambria"/>
          <w:color w:val="275317" w:themeColor="accent6" w:themeShade="80"/>
        </w:rPr>
      </w:pPr>
      <w:r w:rsidRPr="00053A45">
        <w:rPr>
          <w:rFonts w:ascii="Cambria" w:hAnsi="Cambria"/>
          <w:color w:val="275317" w:themeColor="accent6" w:themeShade="80"/>
        </w:rPr>
        <w:t>Se considerarán las experiencias evidenciadas que incluyan dentro de los contratos de mantenimiento la sustitución, adaptación e instalación de luminarias y soportes indicando la cantidad de estas que hayan sido realizadas</w:t>
      </w:r>
      <w:r w:rsidR="00604B4E" w:rsidRPr="00053A45">
        <w:rPr>
          <w:rFonts w:ascii="Cambria" w:hAnsi="Cambria"/>
          <w:color w:val="275317" w:themeColor="accent6" w:themeShade="80"/>
        </w:rPr>
        <w:t>.</w:t>
      </w:r>
    </w:p>
    <w:p w14:paraId="0B75DF3A" w14:textId="77777777" w:rsidR="00604B4E" w:rsidRDefault="00604B4E" w:rsidP="00E1521D">
      <w:pPr>
        <w:jc w:val="both"/>
      </w:pPr>
    </w:p>
    <w:p w14:paraId="6DF6230F" w14:textId="77777777" w:rsidR="00A71272" w:rsidRPr="00891530" w:rsidRDefault="00A71272" w:rsidP="00E1521D">
      <w:pPr>
        <w:jc w:val="both"/>
      </w:pPr>
    </w:p>
    <w:p w14:paraId="3F4C6AE9" w14:textId="77777777" w:rsidR="00891530" w:rsidRPr="00891530" w:rsidRDefault="00891530" w:rsidP="00E1521D">
      <w:pPr>
        <w:jc w:val="both"/>
        <w:rPr>
          <w:b/>
          <w:bCs/>
        </w:rPr>
      </w:pPr>
    </w:p>
    <w:p w14:paraId="71AE4C1A" w14:textId="77777777" w:rsidR="00891530" w:rsidRPr="00891530" w:rsidRDefault="00891530" w:rsidP="00E1521D">
      <w:pPr>
        <w:jc w:val="both"/>
        <w:rPr>
          <w:b/>
          <w:bCs/>
        </w:rPr>
      </w:pPr>
      <w:r w:rsidRPr="00891530">
        <w:rPr>
          <w:b/>
          <w:bCs/>
        </w:rPr>
        <w:t>Consulta No. Evaluación económica e ITBIS (Impuesto a la Transferencia de Bienes Industrializados y Servicios)</w:t>
      </w:r>
    </w:p>
    <w:p w14:paraId="46AA6B05" w14:textId="77777777" w:rsidR="00891530" w:rsidRPr="00891530" w:rsidRDefault="00891530" w:rsidP="00E1521D">
      <w:pPr>
        <w:jc w:val="both"/>
      </w:pPr>
      <w:r w:rsidRPr="00891530">
        <w:t>En relación con la evaluación económica, agradeceríamos confirmar:</w:t>
      </w:r>
    </w:p>
    <w:p w14:paraId="12D8761C" w14:textId="77777777" w:rsidR="00891530" w:rsidRPr="00891530" w:rsidRDefault="00891530" w:rsidP="00E1521D">
      <w:pPr>
        <w:numPr>
          <w:ilvl w:val="0"/>
          <w:numId w:val="15"/>
        </w:numPr>
        <w:jc w:val="both"/>
      </w:pPr>
      <w:r w:rsidRPr="00891530">
        <w:t xml:space="preserve">Si las ofertas deben presentar los valores económicos diferenciando importes con y sin ITBIS, </w:t>
      </w:r>
    </w:p>
    <w:p w14:paraId="1537DB1A" w14:textId="77777777" w:rsidR="00891530" w:rsidRPr="00891530" w:rsidRDefault="00891530" w:rsidP="00E1521D">
      <w:pPr>
        <w:numPr>
          <w:ilvl w:val="0"/>
          <w:numId w:val="15"/>
        </w:numPr>
        <w:jc w:val="both"/>
      </w:pPr>
      <w:r w:rsidRPr="00891530">
        <w:t xml:space="preserve">Y cómo se aplica el ITBIS en función del origen de los bienes (importación vs suministro local), especialmente en relación con las distintas listas de precios. </w:t>
      </w:r>
    </w:p>
    <w:p w14:paraId="1ADD4080" w14:textId="77777777" w:rsidR="00891530" w:rsidRPr="00891530" w:rsidRDefault="00891530" w:rsidP="00E1521D">
      <w:pPr>
        <w:jc w:val="both"/>
        <w:rPr>
          <w:b/>
          <w:bCs/>
        </w:rPr>
      </w:pPr>
      <w:r w:rsidRPr="00891530">
        <w:rPr>
          <w:b/>
          <w:bCs/>
        </w:rPr>
        <w:t>Respuesta:</w:t>
      </w:r>
    </w:p>
    <w:p w14:paraId="35002FFD" w14:textId="1B4FA045" w:rsidR="00891530" w:rsidRDefault="00EE5093" w:rsidP="00E1521D">
      <w:pPr>
        <w:jc w:val="both"/>
        <w:rPr>
          <w:rFonts w:ascii="Cambria" w:hAnsi="Cambria"/>
          <w:color w:val="275317" w:themeColor="accent6" w:themeShade="80"/>
        </w:rPr>
      </w:pPr>
      <w:r w:rsidRPr="00053A45">
        <w:rPr>
          <w:rFonts w:ascii="Cambria" w:hAnsi="Cambria"/>
          <w:color w:val="275317" w:themeColor="accent6" w:themeShade="80"/>
          <w:highlight w:val="yellow"/>
        </w:rPr>
        <w:t xml:space="preserve">Consulta </w:t>
      </w:r>
      <w:proofErr w:type="gramStart"/>
      <w:r w:rsidRPr="00053A45">
        <w:rPr>
          <w:rFonts w:ascii="Cambria" w:hAnsi="Cambria"/>
          <w:color w:val="275317" w:themeColor="accent6" w:themeShade="80"/>
          <w:highlight w:val="yellow"/>
        </w:rPr>
        <w:t>administrativa</w:t>
      </w:r>
      <w:r w:rsidR="00053A45" w:rsidRPr="00053A45">
        <w:rPr>
          <w:rFonts w:ascii="Cambria" w:hAnsi="Cambria"/>
          <w:color w:val="275317" w:themeColor="accent6" w:themeShade="80"/>
          <w:highlight w:val="yellow"/>
        </w:rPr>
        <w:t>( ver</w:t>
      </w:r>
      <w:proofErr w:type="gramEnd"/>
      <w:r w:rsidR="00053A45" w:rsidRPr="00053A45">
        <w:rPr>
          <w:rFonts w:ascii="Cambria" w:hAnsi="Cambria"/>
          <w:color w:val="275317" w:themeColor="accent6" w:themeShade="80"/>
          <w:highlight w:val="yellow"/>
        </w:rPr>
        <w:t xml:space="preserve"> especialista en adquisiciones).</w:t>
      </w:r>
    </w:p>
    <w:p w14:paraId="5595A9AE" w14:textId="77777777" w:rsidR="00EE5093" w:rsidRPr="00891530" w:rsidRDefault="00EE5093" w:rsidP="00E1521D">
      <w:pPr>
        <w:jc w:val="both"/>
        <w:rPr>
          <w:b/>
          <w:bCs/>
        </w:rPr>
      </w:pPr>
    </w:p>
    <w:p w14:paraId="633DCD4E" w14:textId="77777777" w:rsidR="00891530" w:rsidRPr="00891530" w:rsidRDefault="00891530" w:rsidP="00E1521D">
      <w:pPr>
        <w:jc w:val="both"/>
        <w:rPr>
          <w:b/>
          <w:bCs/>
        </w:rPr>
      </w:pPr>
    </w:p>
    <w:p w14:paraId="54FA25B7" w14:textId="77777777" w:rsidR="00891530" w:rsidRPr="00891530" w:rsidRDefault="00891530" w:rsidP="00E1521D">
      <w:pPr>
        <w:jc w:val="both"/>
      </w:pPr>
      <w:r w:rsidRPr="00891530">
        <w:rPr>
          <w:b/>
          <w:bCs/>
        </w:rPr>
        <w:lastRenderedPageBreak/>
        <w:t xml:space="preserve">Consulta No. XX. EJECUCIÓN / LOGÍSTICA. Cantidades de cableado. </w:t>
      </w:r>
      <w:r w:rsidRPr="00891530">
        <w:t>Se han identificado discrepancias entre las cantidades de cableado aéreo indicadas en tablas y en los párrafos descriptivos de la DT para los Lotes 2 y 3.</w:t>
      </w:r>
    </w:p>
    <w:p w14:paraId="1B85CB67" w14:textId="77777777" w:rsidR="00891530" w:rsidRPr="00891530" w:rsidRDefault="00891530" w:rsidP="00E1521D">
      <w:pPr>
        <w:jc w:val="both"/>
      </w:pPr>
      <w:r w:rsidRPr="00891530">
        <w:t xml:space="preserve">En la DT de Lote 2 (EDENORTE), la tabla de actividades muestra cableado aéreo </w:t>
      </w:r>
      <w:proofErr w:type="spellStart"/>
      <w:proofErr w:type="gramStart"/>
      <w:r w:rsidRPr="00891530">
        <w:t>sust</w:t>
      </w:r>
      <w:proofErr w:type="spellEnd"/>
      <w:r w:rsidRPr="00891530">
        <w:t>.=</w:t>
      </w:r>
      <w:proofErr w:type="gramEnd"/>
      <w:r w:rsidRPr="00891530">
        <w:t xml:space="preserve">30,430m y </w:t>
      </w:r>
      <w:proofErr w:type="spellStart"/>
      <w:r w:rsidRPr="00891530">
        <w:t>adapt</w:t>
      </w:r>
      <w:proofErr w:type="spellEnd"/>
      <w:r w:rsidRPr="00891530">
        <w:t xml:space="preserve">.=317,320m, pero los párrafos del mismo documento indican </w:t>
      </w:r>
      <w:proofErr w:type="spellStart"/>
      <w:r w:rsidRPr="00891530">
        <w:t>sust</w:t>
      </w:r>
      <w:proofErr w:type="spellEnd"/>
      <w:r w:rsidRPr="00891530">
        <w:t xml:space="preserve">.=142,035m y </w:t>
      </w:r>
      <w:proofErr w:type="spellStart"/>
      <w:r w:rsidRPr="00891530">
        <w:t>adapt</w:t>
      </w:r>
      <w:proofErr w:type="spellEnd"/>
      <w:r w:rsidRPr="00891530">
        <w:t>.=129,433m. Los valores están invertidos entre tabla y párrafos. Misma inconsistencia en Lote 3.</w:t>
      </w:r>
    </w:p>
    <w:p w14:paraId="76D8F3CC" w14:textId="77777777" w:rsidR="00891530" w:rsidRPr="00891530" w:rsidRDefault="00891530" w:rsidP="00E1521D">
      <w:pPr>
        <w:jc w:val="both"/>
      </w:pPr>
      <w:r w:rsidRPr="00891530">
        <w:t>Agradeceríamos confirmar:</w:t>
      </w:r>
    </w:p>
    <w:p w14:paraId="7C0DE0F3" w14:textId="77777777" w:rsidR="00891530" w:rsidRPr="00891530" w:rsidRDefault="00891530" w:rsidP="00E1521D">
      <w:pPr>
        <w:numPr>
          <w:ilvl w:val="0"/>
          <w:numId w:val="12"/>
        </w:numPr>
        <w:jc w:val="both"/>
      </w:pPr>
      <w:r w:rsidRPr="00891530">
        <w:t xml:space="preserve">Cuáles son las cantidades correctas que deben considerarse para la preparación de la oferta económica y técnica. </w:t>
      </w:r>
    </w:p>
    <w:p w14:paraId="7BD1F6B1" w14:textId="77777777" w:rsidR="00232C14" w:rsidRDefault="00232C14" w:rsidP="00E1521D">
      <w:pPr>
        <w:jc w:val="both"/>
        <w:rPr>
          <w:b/>
          <w:bCs/>
          <w:highlight w:val="green"/>
        </w:rPr>
      </w:pPr>
    </w:p>
    <w:p w14:paraId="3B7BD69E" w14:textId="361C6EC3" w:rsidR="00891530" w:rsidRPr="00891530" w:rsidRDefault="00891530" w:rsidP="00E1521D">
      <w:pPr>
        <w:jc w:val="both"/>
      </w:pPr>
      <w:r w:rsidRPr="00232C14">
        <w:rPr>
          <w:b/>
          <w:bCs/>
          <w:highlight w:val="green"/>
        </w:rPr>
        <w:t>Respuesta:</w:t>
      </w:r>
    </w:p>
    <w:p w14:paraId="019E2BF3" w14:textId="6715A016" w:rsidR="005221FF" w:rsidRDefault="00E85999" w:rsidP="00E1521D">
      <w:pPr>
        <w:jc w:val="both"/>
        <w:rPr>
          <w:rFonts w:ascii="Cambria" w:hAnsi="Cambria"/>
          <w:color w:val="275317" w:themeColor="accent6" w:themeShade="80"/>
        </w:rPr>
      </w:pPr>
      <w:r>
        <w:rPr>
          <w:rFonts w:ascii="Cambria" w:hAnsi="Cambria"/>
          <w:color w:val="275317" w:themeColor="accent6" w:themeShade="80"/>
        </w:rPr>
        <w:t>Es una errata al pasar la información a los pliegos.</w:t>
      </w:r>
    </w:p>
    <w:p w14:paraId="43AB4EB6" w14:textId="77777777" w:rsidR="005221FF" w:rsidRDefault="005221FF" w:rsidP="00E1521D">
      <w:pPr>
        <w:jc w:val="both"/>
        <w:rPr>
          <w:rFonts w:ascii="Cambria" w:hAnsi="Cambria"/>
          <w:color w:val="275317" w:themeColor="accent6" w:themeShade="80"/>
        </w:rPr>
      </w:pPr>
    </w:p>
    <w:p w14:paraId="7C0B3786" w14:textId="4BBA1671" w:rsidR="00E85999" w:rsidRDefault="00E85999" w:rsidP="00E1521D">
      <w:pPr>
        <w:jc w:val="both"/>
        <w:rPr>
          <w:rFonts w:ascii="Cambria" w:hAnsi="Cambria"/>
          <w:color w:val="275317" w:themeColor="accent6" w:themeShade="80"/>
        </w:rPr>
      </w:pPr>
      <w:r>
        <w:rPr>
          <w:rFonts w:ascii="Cambria" w:hAnsi="Cambria"/>
          <w:color w:val="275317" w:themeColor="accent6" w:themeShade="80"/>
        </w:rPr>
        <w:t>LOTE2:</w:t>
      </w:r>
    </w:p>
    <w:p w14:paraId="3CFBDC2C" w14:textId="02B4C25B" w:rsidR="00E85999" w:rsidRDefault="005221FF" w:rsidP="00E1521D">
      <w:pPr>
        <w:pStyle w:val="Prrafodelista"/>
        <w:numPr>
          <w:ilvl w:val="0"/>
          <w:numId w:val="3"/>
        </w:numPr>
        <w:jc w:val="both"/>
        <w:rPr>
          <w:rFonts w:ascii="Cambria" w:hAnsi="Cambria"/>
          <w:color w:val="275317" w:themeColor="accent6" w:themeShade="80"/>
        </w:rPr>
      </w:pPr>
      <w:r>
        <w:rPr>
          <w:rFonts w:ascii="Cambria" w:hAnsi="Cambria"/>
          <w:color w:val="275317" w:themeColor="accent6" w:themeShade="80"/>
        </w:rPr>
        <w:t>Cableado aéreo Sust. = 30,430m</w:t>
      </w:r>
    </w:p>
    <w:p w14:paraId="2229E298" w14:textId="476F9F0F" w:rsidR="005221FF" w:rsidRDefault="005221FF" w:rsidP="00E1521D">
      <w:pPr>
        <w:pStyle w:val="Prrafodelista"/>
        <w:numPr>
          <w:ilvl w:val="0"/>
          <w:numId w:val="3"/>
        </w:numPr>
        <w:jc w:val="both"/>
        <w:rPr>
          <w:rFonts w:ascii="Cambria" w:hAnsi="Cambria"/>
          <w:color w:val="275317" w:themeColor="accent6" w:themeShade="80"/>
        </w:rPr>
      </w:pPr>
      <w:r>
        <w:rPr>
          <w:rFonts w:ascii="Cambria" w:hAnsi="Cambria"/>
          <w:color w:val="275317" w:themeColor="accent6" w:themeShade="80"/>
        </w:rPr>
        <w:t xml:space="preserve">Cableado aéreo </w:t>
      </w:r>
      <w:proofErr w:type="spellStart"/>
      <w:proofErr w:type="gramStart"/>
      <w:r>
        <w:rPr>
          <w:rFonts w:ascii="Cambria" w:hAnsi="Cambria"/>
          <w:color w:val="275317" w:themeColor="accent6" w:themeShade="80"/>
        </w:rPr>
        <w:t>Adapt</w:t>
      </w:r>
      <w:proofErr w:type="spellEnd"/>
      <w:r>
        <w:rPr>
          <w:rFonts w:ascii="Cambria" w:hAnsi="Cambria"/>
          <w:color w:val="275317" w:themeColor="accent6" w:themeShade="80"/>
        </w:rPr>
        <w:t>.=</w:t>
      </w:r>
      <w:proofErr w:type="gramEnd"/>
      <w:r>
        <w:rPr>
          <w:rFonts w:ascii="Cambria" w:hAnsi="Cambria"/>
          <w:color w:val="275317" w:themeColor="accent6" w:themeShade="80"/>
        </w:rPr>
        <w:t xml:space="preserve"> 317,320m</w:t>
      </w:r>
    </w:p>
    <w:p w14:paraId="2035DFBD" w14:textId="77777777" w:rsidR="005221FF" w:rsidRPr="00E85999" w:rsidRDefault="005221FF" w:rsidP="00E1521D">
      <w:pPr>
        <w:pStyle w:val="Prrafodelista"/>
        <w:jc w:val="both"/>
        <w:rPr>
          <w:rFonts w:ascii="Cambria" w:hAnsi="Cambria"/>
          <w:color w:val="275317" w:themeColor="accent6" w:themeShade="80"/>
        </w:rPr>
      </w:pPr>
    </w:p>
    <w:p w14:paraId="58552670" w14:textId="0764F74B" w:rsidR="005221FF" w:rsidRDefault="005221FF" w:rsidP="00E1521D">
      <w:pPr>
        <w:jc w:val="both"/>
        <w:rPr>
          <w:rFonts w:ascii="Cambria" w:hAnsi="Cambria"/>
          <w:color w:val="275317" w:themeColor="accent6" w:themeShade="80"/>
        </w:rPr>
      </w:pPr>
      <w:r>
        <w:rPr>
          <w:rFonts w:ascii="Cambria" w:hAnsi="Cambria"/>
          <w:color w:val="275317" w:themeColor="accent6" w:themeShade="80"/>
        </w:rPr>
        <w:t>LOTE3:</w:t>
      </w:r>
    </w:p>
    <w:p w14:paraId="55B07CBD" w14:textId="042C991F" w:rsidR="005221FF" w:rsidRDefault="005221FF" w:rsidP="00E1521D">
      <w:pPr>
        <w:pStyle w:val="Prrafodelista"/>
        <w:numPr>
          <w:ilvl w:val="0"/>
          <w:numId w:val="3"/>
        </w:numPr>
        <w:jc w:val="both"/>
        <w:rPr>
          <w:rFonts w:ascii="Cambria" w:hAnsi="Cambria"/>
          <w:color w:val="275317" w:themeColor="accent6" w:themeShade="80"/>
        </w:rPr>
      </w:pPr>
      <w:r>
        <w:rPr>
          <w:rFonts w:ascii="Cambria" w:hAnsi="Cambria"/>
          <w:color w:val="275317" w:themeColor="accent6" w:themeShade="80"/>
        </w:rPr>
        <w:t>Cableado aéreo Sust. = 142,035m</w:t>
      </w:r>
    </w:p>
    <w:p w14:paraId="6EAE47A2" w14:textId="6054FCAB" w:rsidR="005221FF" w:rsidRPr="00E85999" w:rsidRDefault="005221FF" w:rsidP="00E1521D">
      <w:pPr>
        <w:pStyle w:val="Prrafodelista"/>
        <w:numPr>
          <w:ilvl w:val="0"/>
          <w:numId w:val="3"/>
        </w:numPr>
        <w:jc w:val="both"/>
        <w:rPr>
          <w:rFonts w:ascii="Cambria" w:hAnsi="Cambria"/>
          <w:color w:val="275317" w:themeColor="accent6" w:themeShade="80"/>
        </w:rPr>
      </w:pPr>
      <w:r>
        <w:rPr>
          <w:rFonts w:ascii="Cambria" w:hAnsi="Cambria"/>
          <w:color w:val="275317" w:themeColor="accent6" w:themeShade="80"/>
        </w:rPr>
        <w:t xml:space="preserve">Cableado aéreo </w:t>
      </w:r>
      <w:proofErr w:type="spellStart"/>
      <w:proofErr w:type="gramStart"/>
      <w:r>
        <w:rPr>
          <w:rFonts w:ascii="Cambria" w:hAnsi="Cambria"/>
          <w:color w:val="275317" w:themeColor="accent6" w:themeShade="80"/>
        </w:rPr>
        <w:t>Adapt</w:t>
      </w:r>
      <w:proofErr w:type="spellEnd"/>
      <w:r>
        <w:rPr>
          <w:rFonts w:ascii="Cambria" w:hAnsi="Cambria"/>
          <w:color w:val="275317" w:themeColor="accent6" w:themeShade="80"/>
        </w:rPr>
        <w:t>.=</w:t>
      </w:r>
      <w:proofErr w:type="gramEnd"/>
      <w:r>
        <w:rPr>
          <w:rFonts w:ascii="Cambria" w:hAnsi="Cambria"/>
          <w:color w:val="275317" w:themeColor="accent6" w:themeShade="80"/>
        </w:rPr>
        <w:t xml:space="preserve"> 129,433m</w:t>
      </w:r>
    </w:p>
    <w:p w14:paraId="687D8C73" w14:textId="77777777" w:rsidR="00EE5093" w:rsidRPr="00891530" w:rsidRDefault="00EE5093" w:rsidP="00E1521D">
      <w:pPr>
        <w:jc w:val="both"/>
      </w:pPr>
    </w:p>
    <w:p w14:paraId="2FDA389C" w14:textId="77777777" w:rsidR="00891530" w:rsidRPr="00891530" w:rsidRDefault="00891530" w:rsidP="00E1521D">
      <w:pPr>
        <w:jc w:val="both"/>
      </w:pPr>
      <w:r w:rsidRPr="009A1331">
        <w:rPr>
          <w:b/>
          <w:bCs/>
          <w:lang w:val="pt-PT"/>
        </w:rPr>
        <w:t xml:space="preserve">Consulta No. XXX: Anexo II – Modelos lumínicos. </w:t>
      </w:r>
      <w:r w:rsidRPr="00891530">
        <w:t>La Memoria Técnica hace referencia a un Anexo II que contiene los modelos lumínicos, sin que este haya sido identificado en la documentación disponible.</w:t>
      </w:r>
    </w:p>
    <w:p w14:paraId="61BA72BD" w14:textId="77777777" w:rsidR="00891530" w:rsidRPr="00891530" w:rsidRDefault="00891530" w:rsidP="00E1521D">
      <w:pPr>
        <w:jc w:val="both"/>
      </w:pPr>
      <w:r w:rsidRPr="00891530">
        <w:t>Agradeceríamos confirmar:</w:t>
      </w:r>
    </w:p>
    <w:p w14:paraId="48D0B418" w14:textId="77777777" w:rsidR="00891530" w:rsidRPr="00891530" w:rsidRDefault="00891530" w:rsidP="00E1521D">
      <w:pPr>
        <w:numPr>
          <w:ilvl w:val="0"/>
          <w:numId w:val="19"/>
        </w:numPr>
        <w:jc w:val="both"/>
      </w:pPr>
      <w:r w:rsidRPr="00891530">
        <w:t xml:space="preserve">Dónde puede consultarse dicho anexo, </w:t>
      </w:r>
    </w:p>
    <w:p w14:paraId="0999EB17" w14:textId="77777777" w:rsidR="00891530" w:rsidRPr="00891530" w:rsidRDefault="00891530" w:rsidP="00E1521D">
      <w:pPr>
        <w:numPr>
          <w:ilvl w:val="0"/>
          <w:numId w:val="19"/>
        </w:numPr>
        <w:jc w:val="both"/>
      </w:pPr>
      <w:r w:rsidRPr="00891530">
        <w:t>Y qué información contiene para su correcta aplicación en la propuesta.</w:t>
      </w:r>
    </w:p>
    <w:p w14:paraId="70DC9A2F" w14:textId="77777777" w:rsidR="00891530" w:rsidRPr="00891530" w:rsidRDefault="00891530" w:rsidP="00E1521D">
      <w:pPr>
        <w:jc w:val="both"/>
      </w:pPr>
      <w:r w:rsidRPr="00891530">
        <w:t>En los planos de cada lote, aparecen las coordenadas de las calles y la tipología, pero no aparece la clasificación del tipo de vía, ni principales medidas (número de calzadas y dimensiones, dimensiones acera, etc.) para poder realizar los estudios lumínicos.</w:t>
      </w:r>
    </w:p>
    <w:p w14:paraId="5A13EC31" w14:textId="77777777" w:rsidR="00891530" w:rsidRPr="00891530" w:rsidRDefault="00891530" w:rsidP="00E1521D">
      <w:pPr>
        <w:jc w:val="both"/>
      </w:pPr>
      <w:r w:rsidRPr="00891530">
        <w:t>Necesitaríamos confirmación de:</w:t>
      </w:r>
    </w:p>
    <w:p w14:paraId="4958FC07" w14:textId="77777777" w:rsidR="00891530" w:rsidRPr="00891530" w:rsidRDefault="00891530" w:rsidP="00E1521D">
      <w:pPr>
        <w:numPr>
          <w:ilvl w:val="0"/>
          <w:numId w:val="19"/>
        </w:numPr>
        <w:jc w:val="both"/>
      </w:pPr>
      <w:r w:rsidRPr="00891530">
        <w:t xml:space="preserve">Dónde puede consultarse dichos valores, </w:t>
      </w:r>
    </w:p>
    <w:p w14:paraId="75C9656B" w14:textId="77777777" w:rsidR="00891530" w:rsidRPr="00891530" w:rsidRDefault="00891530" w:rsidP="00E1521D">
      <w:pPr>
        <w:numPr>
          <w:ilvl w:val="0"/>
          <w:numId w:val="19"/>
        </w:numPr>
        <w:jc w:val="both"/>
      </w:pPr>
      <w:r w:rsidRPr="00891530">
        <w:t>Confirmar que la legislatura aplicable es la SIE-061-2025.</w:t>
      </w:r>
    </w:p>
    <w:p w14:paraId="4A44A1A5" w14:textId="77777777" w:rsidR="00891530" w:rsidRPr="00891530" w:rsidRDefault="00891530" w:rsidP="00E1521D">
      <w:pPr>
        <w:numPr>
          <w:ilvl w:val="0"/>
          <w:numId w:val="19"/>
        </w:numPr>
        <w:jc w:val="both"/>
      </w:pPr>
      <w:r w:rsidRPr="00891530">
        <w:t>En su defecto, qué legislatura de alumbrado público dominicana debemos consultar</w:t>
      </w:r>
    </w:p>
    <w:p w14:paraId="45FA26CF" w14:textId="77777777" w:rsidR="00891530" w:rsidRPr="00891530" w:rsidRDefault="00891530" w:rsidP="00E1521D">
      <w:pPr>
        <w:jc w:val="both"/>
      </w:pPr>
      <w:r w:rsidRPr="00891530">
        <w:rPr>
          <w:b/>
          <w:bCs/>
        </w:rPr>
        <w:t>Respuesta:</w:t>
      </w:r>
    </w:p>
    <w:p w14:paraId="28AFB44F" w14:textId="27E502B3" w:rsidR="00891530" w:rsidRPr="00891530" w:rsidRDefault="006B5FF0" w:rsidP="00E1521D">
      <w:pPr>
        <w:jc w:val="both"/>
      </w:pPr>
      <w:r>
        <w:rPr>
          <w:rFonts w:ascii="Cambria" w:hAnsi="Cambria"/>
          <w:color w:val="275317" w:themeColor="accent6" w:themeShade="80"/>
        </w:rPr>
        <w:t xml:space="preserve">Compartiremos el </w:t>
      </w:r>
      <w:r w:rsidR="005221FF">
        <w:rPr>
          <w:rFonts w:ascii="Cambria" w:hAnsi="Cambria"/>
          <w:color w:val="275317" w:themeColor="accent6" w:themeShade="80"/>
        </w:rPr>
        <w:t>Excel</w:t>
      </w:r>
      <w:r>
        <w:rPr>
          <w:rFonts w:ascii="Cambria" w:hAnsi="Cambria"/>
          <w:color w:val="275317" w:themeColor="accent6" w:themeShade="80"/>
        </w:rPr>
        <w:t xml:space="preserve"> que contiene los modelos lumínicos.</w:t>
      </w:r>
    </w:p>
    <w:p w14:paraId="77A4FDC2" w14:textId="77777777" w:rsidR="00891530" w:rsidRPr="00891530" w:rsidRDefault="00891530" w:rsidP="00E1521D">
      <w:pPr>
        <w:jc w:val="both"/>
      </w:pPr>
    </w:p>
    <w:p w14:paraId="0FA7EB1F" w14:textId="77777777" w:rsidR="00891530" w:rsidRPr="00891530" w:rsidRDefault="00891530" w:rsidP="00E1521D">
      <w:pPr>
        <w:jc w:val="both"/>
      </w:pPr>
    </w:p>
    <w:p w14:paraId="37F3D09D" w14:textId="77777777" w:rsidR="00891530" w:rsidRPr="00891530" w:rsidRDefault="00891530" w:rsidP="00E1521D">
      <w:pPr>
        <w:jc w:val="both"/>
      </w:pPr>
      <w:r w:rsidRPr="00891530">
        <w:rPr>
          <w:b/>
          <w:bCs/>
        </w:rPr>
        <w:t>Consulta No. XX.</w:t>
      </w:r>
      <w:r w:rsidRPr="00891530">
        <w:t xml:space="preserve"> Por otro lado, en los planos de cada uno de los lotes hay una serie de luminarias que no disponen de la información referente a la distribución de las luminarias. Necesitamos confirmar en dichos casos qué disposición de las luminarias debemos suponer para incluirlos en los estudios lumínicos.</w:t>
      </w:r>
    </w:p>
    <w:p w14:paraId="1F96F466" w14:textId="77777777" w:rsidR="00891530" w:rsidRPr="00891530" w:rsidRDefault="00891530" w:rsidP="00E1521D">
      <w:pPr>
        <w:jc w:val="both"/>
      </w:pPr>
    </w:p>
    <w:p w14:paraId="7D2AACF7" w14:textId="77777777" w:rsidR="00891530" w:rsidRPr="00891530" w:rsidRDefault="00891530" w:rsidP="00E1521D">
      <w:pPr>
        <w:jc w:val="both"/>
        <w:rPr>
          <w:b/>
          <w:bCs/>
        </w:rPr>
      </w:pPr>
      <w:r w:rsidRPr="00891530">
        <w:rPr>
          <w:b/>
          <w:bCs/>
        </w:rPr>
        <w:t>Respuesta:</w:t>
      </w:r>
    </w:p>
    <w:p w14:paraId="693A7D9C" w14:textId="0AC31544" w:rsidR="00891530" w:rsidRDefault="005221FF" w:rsidP="00E1521D">
      <w:pPr>
        <w:jc w:val="both"/>
        <w:rPr>
          <w:b/>
          <w:bCs/>
        </w:rPr>
      </w:pPr>
      <w:r w:rsidRPr="005221FF">
        <w:rPr>
          <w:rFonts w:ascii="Cambria" w:hAnsi="Cambria"/>
          <w:color w:val="275317" w:themeColor="accent6" w:themeShade="80"/>
        </w:rPr>
        <w:t>La información disponible</w:t>
      </w:r>
      <w:r>
        <w:rPr>
          <w:rFonts w:ascii="Cambria" w:hAnsi="Cambria"/>
          <w:color w:val="275317" w:themeColor="accent6" w:themeShade="80"/>
        </w:rPr>
        <w:t xml:space="preserve"> relativas a las luminarias</w:t>
      </w:r>
      <w:r w:rsidRPr="005221FF">
        <w:rPr>
          <w:rFonts w:ascii="Cambria" w:hAnsi="Cambria"/>
          <w:color w:val="275317" w:themeColor="accent6" w:themeShade="80"/>
        </w:rPr>
        <w:t xml:space="preserve"> es la que se ha publicado</w:t>
      </w:r>
      <w:r>
        <w:rPr>
          <w:b/>
          <w:bCs/>
        </w:rPr>
        <w:t>.</w:t>
      </w:r>
      <w:r w:rsidR="00A909D5">
        <w:rPr>
          <w:b/>
          <w:bCs/>
        </w:rPr>
        <w:t xml:space="preserve"> </w:t>
      </w:r>
      <w:r w:rsidR="00A909D5" w:rsidRPr="00A909D5">
        <w:rPr>
          <w:rFonts w:ascii="Cambria" w:hAnsi="Cambria"/>
          <w:color w:val="275317" w:themeColor="accent6" w:themeShade="80"/>
        </w:rPr>
        <w:t xml:space="preserve">Se solventa ya que se indican los </w:t>
      </w:r>
      <w:r w:rsidR="0089256D" w:rsidRPr="00A909D5">
        <w:rPr>
          <w:rFonts w:ascii="Cambria" w:hAnsi="Cambria"/>
          <w:color w:val="275317" w:themeColor="accent6" w:themeShade="80"/>
        </w:rPr>
        <w:t>modelos</w:t>
      </w:r>
      <w:r w:rsidR="00A909D5" w:rsidRPr="00A909D5">
        <w:rPr>
          <w:rFonts w:ascii="Cambria" w:hAnsi="Cambria"/>
          <w:color w:val="275317" w:themeColor="accent6" w:themeShade="80"/>
        </w:rPr>
        <w:t xml:space="preserve"> a realizar.</w:t>
      </w:r>
    </w:p>
    <w:p w14:paraId="03F1A982" w14:textId="77777777" w:rsidR="00891530" w:rsidRPr="00891530" w:rsidRDefault="00891530" w:rsidP="00E1521D">
      <w:pPr>
        <w:jc w:val="both"/>
      </w:pPr>
    </w:p>
    <w:p w14:paraId="69009FEA" w14:textId="77777777" w:rsidR="00891530" w:rsidRPr="00891530" w:rsidRDefault="00891530" w:rsidP="00E1521D">
      <w:pPr>
        <w:jc w:val="both"/>
      </w:pPr>
      <w:r w:rsidRPr="00891530">
        <w:rPr>
          <w:b/>
          <w:bCs/>
        </w:rPr>
        <w:lastRenderedPageBreak/>
        <w:t xml:space="preserve">Consulta No. XX. Luminarias con batería. </w:t>
      </w:r>
      <w:r w:rsidRPr="00891530">
        <w:t>En relación con las luminarias con batería, agradeceríamos confirmar:</w:t>
      </w:r>
    </w:p>
    <w:p w14:paraId="5803BCFB" w14:textId="77777777" w:rsidR="00891530" w:rsidRPr="00891530" w:rsidRDefault="00891530" w:rsidP="00E1521D">
      <w:pPr>
        <w:numPr>
          <w:ilvl w:val="0"/>
          <w:numId w:val="10"/>
        </w:numPr>
        <w:jc w:val="both"/>
      </w:pPr>
      <w:r w:rsidRPr="00891530">
        <w:t xml:space="preserve">Cuál es la autonomía mínima requerida, </w:t>
      </w:r>
    </w:p>
    <w:p w14:paraId="2275D562" w14:textId="77777777" w:rsidR="00891530" w:rsidRPr="00891530" w:rsidRDefault="00891530" w:rsidP="00E1521D">
      <w:pPr>
        <w:numPr>
          <w:ilvl w:val="0"/>
          <w:numId w:val="10"/>
        </w:numPr>
        <w:jc w:val="both"/>
      </w:pPr>
      <w:r w:rsidRPr="00891530">
        <w:t xml:space="preserve">Si la batería debe ser integrada en la luminaria o puede ser un módulo externo, </w:t>
      </w:r>
    </w:p>
    <w:p w14:paraId="1D87CF2B" w14:textId="77777777" w:rsidR="00891530" w:rsidRPr="00891530" w:rsidRDefault="00891530" w:rsidP="00E1521D">
      <w:pPr>
        <w:numPr>
          <w:ilvl w:val="0"/>
          <w:numId w:val="10"/>
        </w:numPr>
        <w:jc w:val="both"/>
      </w:pPr>
      <w:r w:rsidRPr="00891530">
        <w:t xml:space="preserve">Y si la garantía exigida para la luminaria cubre también este componente. </w:t>
      </w:r>
    </w:p>
    <w:p w14:paraId="7E2371CB" w14:textId="77777777" w:rsidR="00891530" w:rsidRPr="00891530" w:rsidRDefault="00891530" w:rsidP="00E1521D">
      <w:pPr>
        <w:numPr>
          <w:ilvl w:val="0"/>
          <w:numId w:val="10"/>
        </w:numPr>
        <w:jc w:val="both"/>
      </w:pPr>
      <w:r w:rsidRPr="00891530">
        <w:t>La red de alumbrado está encendida 24*7 o solo en horario nocturno, para saber si la batería se carga durante todo el día o solamente durante la noche.</w:t>
      </w:r>
    </w:p>
    <w:p w14:paraId="7F198E29" w14:textId="77777777" w:rsidR="0089256D" w:rsidRDefault="0089256D" w:rsidP="00E1521D">
      <w:pPr>
        <w:jc w:val="both"/>
        <w:rPr>
          <w:b/>
          <w:bCs/>
        </w:rPr>
      </w:pPr>
    </w:p>
    <w:p w14:paraId="30D17C65" w14:textId="791393C9" w:rsidR="00891530" w:rsidRPr="00891530" w:rsidRDefault="00891530" w:rsidP="00E1521D">
      <w:pPr>
        <w:jc w:val="both"/>
        <w:rPr>
          <w:b/>
          <w:bCs/>
        </w:rPr>
      </w:pPr>
      <w:r w:rsidRPr="00891530">
        <w:rPr>
          <w:b/>
          <w:bCs/>
        </w:rPr>
        <w:t>Respuesta:</w:t>
      </w:r>
    </w:p>
    <w:p w14:paraId="6F9E0E13" w14:textId="126FBCC0" w:rsidR="00891530" w:rsidRDefault="005221FF" w:rsidP="00E1521D">
      <w:pPr>
        <w:pStyle w:val="Prrafodelista"/>
        <w:numPr>
          <w:ilvl w:val="0"/>
          <w:numId w:val="3"/>
        </w:numPr>
        <w:jc w:val="both"/>
        <w:rPr>
          <w:rFonts w:ascii="Cambria" w:hAnsi="Cambria"/>
          <w:color w:val="275317" w:themeColor="accent6" w:themeShade="80"/>
        </w:rPr>
      </w:pPr>
      <w:r w:rsidRPr="005221FF">
        <w:rPr>
          <w:rFonts w:ascii="Cambria" w:hAnsi="Cambria"/>
          <w:color w:val="275317" w:themeColor="accent6" w:themeShade="80"/>
        </w:rPr>
        <w:t>Las luminarias con baterías de emergencias cumplirán la función de proporcionar el servicio mínimo de alumbrado frente a cortes del suministro eléctrico. Es por ello que se configuraran para proporcionar el mayor número de horas de autonomía, dependiendo de la potencia de las luminarias y el régimen de funcionamiento de la misma</w:t>
      </w:r>
      <w:r w:rsidR="0089256D">
        <w:rPr>
          <w:rFonts w:ascii="Cambria" w:hAnsi="Cambria"/>
          <w:color w:val="275317" w:themeColor="accent6" w:themeShade="80"/>
        </w:rPr>
        <w:t>.</w:t>
      </w:r>
    </w:p>
    <w:p w14:paraId="7B3C075A" w14:textId="7E91EF6D" w:rsidR="005221FF" w:rsidRDefault="005221FF" w:rsidP="00E1521D">
      <w:pPr>
        <w:pStyle w:val="Prrafodelista"/>
        <w:numPr>
          <w:ilvl w:val="0"/>
          <w:numId w:val="3"/>
        </w:numPr>
        <w:jc w:val="both"/>
        <w:rPr>
          <w:rFonts w:ascii="Cambria" w:hAnsi="Cambria"/>
          <w:color w:val="275317" w:themeColor="accent6" w:themeShade="80"/>
        </w:rPr>
      </w:pPr>
      <w:r>
        <w:rPr>
          <w:rFonts w:ascii="Cambria" w:hAnsi="Cambria"/>
          <w:color w:val="275317" w:themeColor="accent6" w:themeShade="80"/>
        </w:rPr>
        <w:t>Sí</w:t>
      </w:r>
      <w:r w:rsidR="0089256D">
        <w:rPr>
          <w:rFonts w:ascii="Cambria" w:hAnsi="Cambria"/>
          <w:color w:val="275317" w:themeColor="accent6" w:themeShade="80"/>
        </w:rPr>
        <w:t>,</w:t>
      </w:r>
      <w:r>
        <w:rPr>
          <w:rFonts w:ascii="Cambria" w:hAnsi="Cambria"/>
          <w:color w:val="275317" w:themeColor="accent6" w:themeShade="80"/>
        </w:rPr>
        <w:t xml:space="preserve"> debe estar integrada</w:t>
      </w:r>
      <w:r w:rsidR="0089256D">
        <w:rPr>
          <w:rFonts w:ascii="Cambria" w:hAnsi="Cambria"/>
          <w:color w:val="275317" w:themeColor="accent6" w:themeShade="80"/>
        </w:rPr>
        <w:t>.</w:t>
      </w:r>
    </w:p>
    <w:p w14:paraId="34873E58" w14:textId="3CEC6411" w:rsidR="005221FF" w:rsidRDefault="005221FF" w:rsidP="00E1521D">
      <w:pPr>
        <w:pStyle w:val="Prrafodelista"/>
        <w:numPr>
          <w:ilvl w:val="0"/>
          <w:numId w:val="3"/>
        </w:numPr>
        <w:jc w:val="both"/>
        <w:rPr>
          <w:rFonts w:ascii="Cambria" w:hAnsi="Cambria"/>
          <w:color w:val="275317" w:themeColor="accent6" w:themeShade="80"/>
        </w:rPr>
      </w:pPr>
      <w:r>
        <w:rPr>
          <w:rFonts w:ascii="Cambria" w:hAnsi="Cambria"/>
          <w:color w:val="275317" w:themeColor="accent6" w:themeShade="80"/>
        </w:rPr>
        <w:t>Sí</w:t>
      </w:r>
      <w:r w:rsidR="0089256D">
        <w:rPr>
          <w:rFonts w:ascii="Cambria" w:hAnsi="Cambria"/>
          <w:color w:val="275317" w:themeColor="accent6" w:themeShade="80"/>
        </w:rPr>
        <w:t>,</w:t>
      </w:r>
      <w:r>
        <w:rPr>
          <w:rFonts w:ascii="Cambria" w:hAnsi="Cambria"/>
          <w:color w:val="275317" w:themeColor="accent6" w:themeShade="80"/>
        </w:rPr>
        <w:t xml:space="preserve"> la garantía debe cubrir el conjunto de luminaria y batería</w:t>
      </w:r>
      <w:r w:rsidR="0089256D">
        <w:rPr>
          <w:rFonts w:ascii="Cambria" w:hAnsi="Cambria"/>
          <w:color w:val="275317" w:themeColor="accent6" w:themeShade="80"/>
        </w:rPr>
        <w:t>.</w:t>
      </w:r>
    </w:p>
    <w:p w14:paraId="115FBE6E" w14:textId="53C7B9CA" w:rsidR="005221FF" w:rsidRPr="005221FF" w:rsidRDefault="005221FF" w:rsidP="00E1521D">
      <w:pPr>
        <w:pStyle w:val="Prrafodelista"/>
        <w:numPr>
          <w:ilvl w:val="0"/>
          <w:numId w:val="3"/>
        </w:numPr>
        <w:jc w:val="both"/>
        <w:rPr>
          <w:rFonts w:ascii="Cambria" w:hAnsi="Cambria"/>
          <w:color w:val="275317" w:themeColor="accent6" w:themeShade="80"/>
        </w:rPr>
      </w:pPr>
      <w:r>
        <w:rPr>
          <w:rFonts w:ascii="Cambria" w:hAnsi="Cambria"/>
          <w:color w:val="275317" w:themeColor="accent6" w:themeShade="80"/>
        </w:rPr>
        <w:t>La red de alumbrado funciona en horario nocturno</w:t>
      </w:r>
      <w:r w:rsidR="0089256D">
        <w:rPr>
          <w:rFonts w:ascii="Cambria" w:hAnsi="Cambria"/>
          <w:color w:val="275317" w:themeColor="accent6" w:themeShade="80"/>
        </w:rPr>
        <w:t>.</w:t>
      </w:r>
    </w:p>
    <w:p w14:paraId="53B6E227" w14:textId="77777777" w:rsidR="005221FF" w:rsidRPr="00891530" w:rsidRDefault="005221FF" w:rsidP="00E1521D">
      <w:pPr>
        <w:jc w:val="both"/>
        <w:rPr>
          <w:b/>
          <w:bCs/>
        </w:rPr>
      </w:pPr>
    </w:p>
    <w:p w14:paraId="1D8ED183" w14:textId="77777777" w:rsidR="00891530" w:rsidRPr="00891530" w:rsidRDefault="00891530" w:rsidP="00E1521D">
      <w:pPr>
        <w:jc w:val="both"/>
      </w:pPr>
      <w:r w:rsidRPr="00891530">
        <w:rPr>
          <w:b/>
          <w:bCs/>
        </w:rPr>
        <w:t xml:space="preserve">Consulta No. xx. Ejecución simultánea de lotes. </w:t>
      </w:r>
      <w:r w:rsidRPr="00891530">
        <w:t>En caso de adjudicación de varios lotes, agradeceríamos confirmar:</w:t>
      </w:r>
    </w:p>
    <w:p w14:paraId="0B084391" w14:textId="77777777" w:rsidR="00891530" w:rsidRPr="00891530" w:rsidRDefault="00891530" w:rsidP="00E1521D">
      <w:pPr>
        <w:numPr>
          <w:ilvl w:val="0"/>
          <w:numId w:val="16"/>
        </w:numPr>
        <w:jc w:val="both"/>
      </w:pPr>
      <w:r w:rsidRPr="00891530">
        <w:t xml:space="preserve">Si los perfiles directivos deben ser exclusivos para cada lote, </w:t>
      </w:r>
    </w:p>
    <w:p w14:paraId="5714D543" w14:textId="77777777" w:rsidR="00891530" w:rsidRPr="00891530" w:rsidRDefault="00891530" w:rsidP="00E1521D">
      <w:pPr>
        <w:numPr>
          <w:ilvl w:val="0"/>
          <w:numId w:val="16"/>
        </w:numPr>
        <w:jc w:val="both"/>
      </w:pPr>
      <w:r w:rsidRPr="00891530">
        <w:t xml:space="preserve">Y si se permite compartir determinados perfiles entre lotes. </w:t>
      </w:r>
    </w:p>
    <w:p w14:paraId="70D841DB" w14:textId="77777777" w:rsidR="0089256D" w:rsidRDefault="0089256D" w:rsidP="00E1521D">
      <w:pPr>
        <w:jc w:val="both"/>
        <w:rPr>
          <w:b/>
          <w:bCs/>
        </w:rPr>
      </w:pPr>
    </w:p>
    <w:p w14:paraId="55463F09" w14:textId="79CE0D11" w:rsidR="00891530" w:rsidRPr="00891530" w:rsidRDefault="00891530" w:rsidP="00E1521D">
      <w:pPr>
        <w:jc w:val="both"/>
        <w:rPr>
          <w:b/>
          <w:bCs/>
        </w:rPr>
      </w:pPr>
      <w:r w:rsidRPr="00891530">
        <w:rPr>
          <w:b/>
          <w:bCs/>
        </w:rPr>
        <w:t>Respuesta:</w:t>
      </w:r>
    </w:p>
    <w:p w14:paraId="02ED11FE" w14:textId="5C2608A7" w:rsidR="00891530" w:rsidRPr="00891530" w:rsidRDefault="00390B79" w:rsidP="00E1521D">
      <w:pPr>
        <w:jc w:val="both"/>
        <w:rPr>
          <w:b/>
          <w:bCs/>
        </w:rPr>
      </w:pPr>
      <w:r>
        <w:rPr>
          <w:rFonts w:ascii="Cambria" w:hAnsi="Cambria"/>
          <w:color w:val="275317" w:themeColor="accent6" w:themeShade="80"/>
        </w:rPr>
        <w:t>Es por cada lote.</w:t>
      </w:r>
    </w:p>
    <w:p w14:paraId="71C365FF" w14:textId="77777777" w:rsidR="00891530" w:rsidRPr="00891530" w:rsidRDefault="00891530" w:rsidP="00E1521D">
      <w:pPr>
        <w:jc w:val="both"/>
        <w:rPr>
          <w:b/>
          <w:bCs/>
        </w:rPr>
      </w:pPr>
    </w:p>
    <w:p w14:paraId="702CD28F" w14:textId="77777777" w:rsidR="00891530" w:rsidRPr="00891530" w:rsidRDefault="00891530" w:rsidP="00E1521D">
      <w:pPr>
        <w:jc w:val="both"/>
        <w:rPr>
          <w:b/>
          <w:bCs/>
        </w:rPr>
      </w:pPr>
      <w:r w:rsidRPr="00891530">
        <w:rPr>
          <w:b/>
          <w:bCs/>
        </w:rPr>
        <w:t>Consulta No. XX. DOCUMENTACIÓN / ELEGIBILIDAD. Experiencia general</w:t>
      </w:r>
    </w:p>
    <w:p w14:paraId="02969996" w14:textId="77777777" w:rsidR="00891530" w:rsidRPr="00891530" w:rsidRDefault="00891530" w:rsidP="00E1521D">
      <w:pPr>
        <w:jc w:val="both"/>
      </w:pPr>
      <w:r w:rsidRPr="00891530">
        <w:t xml:space="preserve">La experiencia general se mide en ejecución de al menos 4 proyectos de construcción, rehabilitación o suministro de bienes relacionados al sector eléctrico en función de contratista, subcontratista o contratista administrador de dimensiones similares, en los últimos diez (10) años, a partir del 1ro de enero de 2015. </w:t>
      </w:r>
    </w:p>
    <w:p w14:paraId="668EB6AD" w14:textId="77777777" w:rsidR="00891530" w:rsidRPr="00891530" w:rsidRDefault="00891530" w:rsidP="00E1521D">
      <w:pPr>
        <w:jc w:val="both"/>
      </w:pPr>
      <w:r w:rsidRPr="00891530">
        <w:t>De forma homologa al comentario del punto 6 (referida a la experiencia en instalación de 250,000 luminarias), es un requerimiento excesivamente restrictivo para la dimensión de este proyecto, que limita la competencia.</w:t>
      </w:r>
    </w:p>
    <w:p w14:paraId="0C030AFB" w14:textId="77777777" w:rsidR="00891530" w:rsidRPr="00891530" w:rsidRDefault="00891530" w:rsidP="00E1521D">
      <w:pPr>
        <w:jc w:val="both"/>
      </w:pPr>
      <w:r w:rsidRPr="00891530">
        <w:t>Agradeceríamos modificar los requisitos de la experiencia general pudiéndose acreditar de forma conjunta en caso de APCA y reducirlo a un mínimo de 2 proyectos.</w:t>
      </w:r>
    </w:p>
    <w:p w14:paraId="6BC8FA86" w14:textId="77777777" w:rsidR="00891530" w:rsidRPr="00891530" w:rsidRDefault="00891530" w:rsidP="00E1521D">
      <w:pPr>
        <w:jc w:val="both"/>
      </w:pPr>
    </w:p>
    <w:p w14:paraId="183FE17D" w14:textId="77777777" w:rsidR="00891530" w:rsidRPr="00891530" w:rsidRDefault="00891530" w:rsidP="00E1521D">
      <w:pPr>
        <w:jc w:val="both"/>
        <w:rPr>
          <w:b/>
          <w:bCs/>
        </w:rPr>
      </w:pPr>
      <w:r w:rsidRPr="0089256D">
        <w:rPr>
          <w:b/>
          <w:bCs/>
          <w:highlight w:val="green"/>
        </w:rPr>
        <w:t>Respuesta:</w:t>
      </w:r>
    </w:p>
    <w:p w14:paraId="5EC42D82" w14:textId="1F355BFE" w:rsidR="005221FF" w:rsidRPr="00891530" w:rsidRDefault="00EF71BC" w:rsidP="00E1521D">
      <w:pPr>
        <w:jc w:val="both"/>
        <w:rPr>
          <w:b/>
          <w:bCs/>
        </w:rPr>
      </w:pPr>
      <w:r w:rsidRPr="0089256D">
        <w:rPr>
          <w:rFonts w:ascii="Cambria" w:hAnsi="Cambria"/>
          <w:color w:val="275317" w:themeColor="accent6" w:themeShade="80"/>
        </w:rPr>
        <w:t xml:space="preserve">Se exige el número de luminaria correspondiente a cada </w:t>
      </w:r>
      <w:r w:rsidR="0089256D" w:rsidRPr="0089256D">
        <w:rPr>
          <w:rFonts w:ascii="Cambria" w:hAnsi="Cambria"/>
          <w:color w:val="275317" w:themeColor="accent6" w:themeShade="80"/>
        </w:rPr>
        <w:t>lote</w:t>
      </w:r>
      <w:r w:rsidR="0089256D" w:rsidRPr="0089256D">
        <w:rPr>
          <w:rFonts w:ascii="Cambria" w:hAnsi="Cambria"/>
          <w:color w:val="275317" w:themeColor="accent6" w:themeShade="80"/>
          <w:highlight w:val="red"/>
        </w:rPr>
        <w:t>. (esta respuesta debe ser vista por el coordinador general, relacionado con la cantidad de proyectos).</w:t>
      </w:r>
    </w:p>
    <w:p w14:paraId="3648C610" w14:textId="77777777" w:rsidR="00891530" w:rsidRPr="00891530" w:rsidRDefault="00891530" w:rsidP="00E1521D">
      <w:pPr>
        <w:jc w:val="both"/>
        <w:rPr>
          <w:b/>
          <w:bCs/>
        </w:rPr>
      </w:pPr>
    </w:p>
    <w:p w14:paraId="20E3294F" w14:textId="77777777" w:rsidR="00891530" w:rsidRPr="00891530" w:rsidRDefault="00891530" w:rsidP="00E1521D">
      <w:pPr>
        <w:jc w:val="both"/>
      </w:pPr>
    </w:p>
    <w:p w14:paraId="45B478D7" w14:textId="77777777" w:rsidR="00891530" w:rsidRPr="00891530" w:rsidRDefault="00891530" w:rsidP="00E1521D">
      <w:pPr>
        <w:jc w:val="both"/>
        <w:rPr>
          <w:b/>
          <w:bCs/>
        </w:rPr>
      </w:pPr>
      <w:r w:rsidRPr="00891530">
        <w:rPr>
          <w:b/>
          <w:bCs/>
        </w:rPr>
        <w:t>Consulta No. XX. Experiencia específica</w:t>
      </w:r>
    </w:p>
    <w:p w14:paraId="378CB256" w14:textId="77777777" w:rsidR="00891530" w:rsidRPr="00891530" w:rsidRDefault="00891530" w:rsidP="00E1521D">
      <w:pPr>
        <w:jc w:val="both"/>
      </w:pPr>
      <w:r w:rsidRPr="00891530">
        <w:t xml:space="preserve">La experiencia específica se mide en "nodos en una ciudad/red en operación" (mín. 250,000 global y 50,000 en Latinoamérica). De forma homologa al comentario del punto 6 y 12 (al menos 4 proyectos de construcción, rehabilitación o suministro de bienes relacionados al sector eléctrico en los últimos diez (10) años y las 250, 000 luminarias instaladas), es un requerimiento excesivamente restrictivo para la dimensión de este </w:t>
      </w:r>
      <w:r w:rsidRPr="00891530">
        <w:lastRenderedPageBreak/>
        <w:t>proyecto, que limita la competencia. Agradeceríamos modificar los requisitos a una cantidad menor, similar a la de cada lote.</w:t>
      </w:r>
    </w:p>
    <w:p w14:paraId="2BA26C1A" w14:textId="77777777" w:rsidR="00891530" w:rsidRPr="00891530" w:rsidRDefault="00891530" w:rsidP="00E1521D">
      <w:pPr>
        <w:jc w:val="both"/>
        <w:rPr>
          <w:b/>
          <w:bCs/>
        </w:rPr>
      </w:pPr>
    </w:p>
    <w:p w14:paraId="1119F9A4" w14:textId="77777777" w:rsidR="00891530" w:rsidRPr="00891530" w:rsidRDefault="00891530" w:rsidP="00E1521D">
      <w:pPr>
        <w:jc w:val="both"/>
      </w:pPr>
      <w:r w:rsidRPr="0089256D">
        <w:rPr>
          <w:b/>
          <w:bCs/>
          <w:highlight w:val="green"/>
        </w:rPr>
        <w:t>Respuesta:</w:t>
      </w:r>
    </w:p>
    <w:p w14:paraId="16374533" w14:textId="77777777" w:rsidR="0089256D" w:rsidRPr="00891530" w:rsidRDefault="00EF71BC" w:rsidP="0089256D">
      <w:pPr>
        <w:jc w:val="both"/>
        <w:rPr>
          <w:b/>
          <w:bCs/>
        </w:rPr>
      </w:pPr>
      <w:r>
        <w:rPr>
          <w:rFonts w:ascii="Cambria" w:hAnsi="Cambria"/>
          <w:color w:val="275317" w:themeColor="accent6" w:themeShade="80"/>
        </w:rPr>
        <w:t>Se exige el número de luminaria correspondiente a cada lote.</w:t>
      </w:r>
      <w:r w:rsidR="0089256D">
        <w:rPr>
          <w:rFonts w:ascii="Cambria" w:hAnsi="Cambria"/>
          <w:color w:val="275317" w:themeColor="accent6" w:themeShade="80"/>
        </w:rPr>
        <w:t xml:space="preserve"> </w:t>
      </w:r>
      <w:r w:rsidR="0089256D" w:rsidRPr="0089256D">
        <w:rPr>
          <w:rFonts w:ascii="Cambria" w:hAnsi="Cambria"/>
          <w:color w:val="275317" w:themeColor="accent6" w:themeShade="80"/>
          <w:highlight w:val="red"/>
        </w:rPr>
        <w:t>(esta respuesta debe ser vista por el coordinador general, relacionado con la cantidad de proyectos).</w:t>
      </w:r>
    </w:p>
    <w:p w14:paraId="2C8AB40A" w14:textId="61666182" w:rsidR="00891530" w:rsidRPr="005221FF" w:rsidRDefault="00891530" w:rsidP="00E1521D">
      <w:pPr>
        <w:jc w:val="both"/>
        <w:rPr>
          <w:rFonts w:ascii="Cambria" w:hAnsi="Cambria"/>
          <w:color w:val="275317" w:themeColor="accent6" w:themeShade="80"/>
        </w:rPr>
      </w:pPr>
    </w:p>
    <w:p w14:paraId="6029A498" w14:textId="77777777" w:rsidR="00891530" w:rsidRPr="00891530" w:rsidRDefault="00891530" w:rsidP="00E1521D">
      <w:pPr>
        <w:jc w:val="both"/>
        <w:rPr>
          <w:b/>
          <w:bCs/>
        </w:rPr>
      </w:pPr>
    </w:p>
    <w:p w14:paraId="389C4791" w14:textId="77777777" w:rsidR="00891530" w:rsidRPr="00891530" w:rsidRDefault="00891530" w:rsidP="00E1521D">
      <w:pPr>
        <w:jc w:val="both"/>
      </w:pPr>
      <w:r w:rsidRPr="00891530">
        <w:rPr>
          <w:b/>
          <w:bCs/>
        </w:rPr>
        <w:t xml:space="preserve">Consulta No. xx. Recursos financieros. </w:t>
      </w:r>
      <w:r w:rsidRPr="00891530">
        <w:t>Los recursos financieros líquidos mínimos son: L1=US$3,489,000 / L2=US$4,848,000 / L3=US$4,112,000. Si se ofertan 3 lotes.  Agradeceríamos confirmar:</w:t>
      </w:r>
    </w:p>
    <w:p w14:paraId="5E72522D" w14:textId="77777777" w:rsidR="00891530" w:rsidRPr="00891530" w:rsidRDefault="00891530" w:rsidP="00E1521D">
      <w:pPr>
        <w:numPr>
          <w:ilvl w:val="0"/>
          <w:numId w:val="13"/>
        </w:numPr>
        <w:jc w:val="both"/>
      </w:pPr>
      <w:r w:rsidRPr="00891530">
        <w:t>Si los requisitos financieros deben cumplirse de forma acumulada para varios lotes.</w:t>
      </w:r>
    </w:p>
    <w:p w14:paraId="21343BF1" w14:textId="77777777" w:rsidR="0089256D" w:rsidRDefault="0089256D" w:rsidP="00E1521D">
      <w:pPr>
        <w:jc w:val="both"/>
        <w:rPr>
          <w:b/>
          <w:bCs/>
        </w:rPr>
      </w:pPr>
    </w:p>
    <w:p w14:paraId="62C773A5" w14:textId="1B8039C0" w:rsidR="00891530" w:rsidRPr="00891530" w:rsidRDefault="00891530" w:rsidP="00E1521D">
      <w:pPr>
        <w:jc w:val="both"/>
      </w:pPr>
      <w:r w:rsidRPr="00891530">
        <w:rPr>
          <w:b/>
          <w:bCs/>
        </w:rPr>
        <w:t>Respuesta:</w:t>
      </w:r>
    </w:p>
    <w:p w14:paraId="18AC5EFB" w14:textId="69816FCE" w:rsidR="00891530" w:rsidRDefault="005221FF" w:rsidP="00E1521D">
      <w:pPr>
        <w:jc w:val="both"/>
      </w:pPr>
      <w:r>
        <w:rPr>
          <w:rFonts w:ascii="Cambria" w:hAnsi="Cambria"/>
          <w:color w:val="275317" w:themeColor="accent6" w:themeShade="80"/>
        </w:rPr>
        <w:t>Consulta administrativa</w:t>
      </w:r>
      <w:r w:rsidR="0089256D">
        <w:rPr>
          <w:rFonts w:ascii="Cambria" w:hAnsi="Cambria"/>
          <w:color w:val="275317" w:themeColor="accent6" w:themeShade="80"/>
        </w:rPr>
        <w:t>. (ver especialista en adquisiciones).</w:t>
      </w:r>
    </w:p>
    <w:p w14:paraId="6FDFCC1B" w14:textId="77A60F6F" w:rsidR="005221FF" w:rsidRDefault="005221FF" w:rsidP="00E1521D">
      <w:pPr>
        <w:jc w:val="both"/>
      </w:pPr>
    </w:p>
    <w:p w14:paraId="38AB0E2F" w14:textId="77777777" w:rsidR="005221FF" w:rsidRPr="00891530" w:rsidRDefault="005221FF" w:rsidP="00E1521D">
      <w:pPr>
        <w:jc w:val="both"/>
      </w:pPr>
    </w:p>
    <w:p w14:paraId="27C47516" w14:textId="77777777" w:rsidR="00891530" w:rsidRPr="00891530" w:rsidRDefault="00891530" w:rsidP="00E1521D">
      <w:pPr>
        <w:jc w:val="both"/>
        <w:rPr>
          <w:i/>
          <w:iCs/>
        </w:rPr>
      </w:pPr>
      <w:r w:rsidRPr="00891530">
        <w:rPr>
          <w:b/>
          <w:bCs/>
        </w:rPr>
        <w:t xml:space="preserve">Consulta No. XXX. Requisitos del fabricante. </w:t>
      </w:r>
      <w:r w:rsidRPr="00891530">
        <w:t xml:space="preserve">Se exige que el fabricante tenga suministros &gt;100,000 luminarias LED (Secc. III) pero el DDL indica &gt;1,000 luminarias: Sección II — Datos de la Licitación- 27.1 Documentación del Fabricante de la Solución LED: </w:t>
      </w:r>
      <w:r w:rsidRPr="00891530">
        <w:rPr>
          <w:i/>
          <w:iCs/>
        </w:rPr>
        <w:t>Listado con los últimos suministros de más de 1.000 luminarias LED efectuados, indicando fecha de su realización, modelos y número de unidades.</w:t>
      </w:r>
    </w:p>
    <w:p w14:paraId="36CCA5C8" w14:textId="77777777" w:rsidR="00891530" w:rsidRPr="00891530" w:rsidRDefault="00891530" w:rsidP="00E1521D">
      <w:pPr>
        <w:jc w:val="both"/>
      </w:pPr>
      <w:r w:rsidRPr="00891530">
        <w:t xml:space="preserve">Sección III — Criterios de Evaluación y Calificación- Tabla Criterios de Evaluación: 10. Documentación de la empresa fabricante de los equipos y componentes: </w:t>
      </w:r>
      <w:r w:rsidRPr="00891530">
        <w:rPr>
          <w:i/>
          <w:iCs/>
        </w:rPr>
        <w:t xml:space="preserve">Listado con los últimos suministros de más de 100.000 luminarias LED efectuados, indicando fecha de su realización, modelos y número de unidades. </w:t>
      </w:r>
    </w:p>
    <w:p w14:paraId="6400CCDC" w14:textId="77777777" w:rsidR="00891530" w:rsidRPr="00891530" w:rsidRDefault="00891530" w:rsidP="00E1521D">
      <w:pPr>
        <w:jc w:val="both"/>
      </w:pPr>
      <w:r w:rsidRPr="00891530">
        <w:t>Agradeceríamos confirmar cuál de los requisitos establecidos en distintas secciones prevalece en caso de discrepancia.</w:t>
      </w:r>
    </w:p>
    <w:p w14:paraId="0DC000A5" w14:textId="09EC63FD" w:rsidR="00891530" w:rsidRPr="00891530" w:rsidRDefault="00891530" w:rsidP="00E1521D">
      <w:pPr>
        <w:jc w:val="both"/>
      </w:pPr>
    </w:p>
    <w:p w14:paraId="19E582ED" w14:textId="77777777" w:rsidR="00891530" w:rsidRPr="00891530" w:rsidRDefault="00891530" w:rsidP="00E1521D">
      <w:pPr>
        <w:jc w:val="both"/>
      </w:pPr>
    </w:p>
    <w:p w14:paraId="14DC6E6E" w14:textId="77777777" w:rsidR="00891530" w:rsidRPr="00891530" w:rsidRDefault="00891530" w:rsidP="00E1521D">
      <w:pPr>
        <w:jc w:val="both"/>
      </w:pPr>
      <w:r w:rsidRPr="00EF1BCF">
        <w:rPr>
          <w:b/>
          <w:bCs/>
          <w:highlight w:val="green"/>
        </w:rPr>
        <w:t>Respuesta:</w:t>
      </w:r>
    </w:p>
    <w:p w14:paraId="67852B81" w14:textId="119A5389" w:rsidR="00891530" w:rsidRDefault="00CC65A6" w:rsidP="00E1521D">
      <w:pPr>
        <w:jc w:val="both"/>
        <w:rPr>
          <w:rFonts w:ascii="Cambria" w:hAnsi="Cambria"/>
          <w:color w:val="275317" w:themeColor="accent6" w:themeShade="80"/>
        </w:rPr>
      </w:pPr>
      <w:r>
        <w:rPr>
          <w:rFonts w:ascii="Cambria" w:hAnsi="Cambria"/>
          <w:color w:val="275317" w:themeColor="accent6" w:themeShade="80"/>
        </w:rPr>
        <w:t>Listado de suministros de más de 100.000</w:t>
      </w:r>
      <w:r w:rsidR="00EF1BCF">
        <w:rPr>
          <w:rFonts w:ascii="Cambria" w:hAnsi="Cambria"/>
          <w:color w:val="275317" w:themeColor="accent6" w:themeShade="80"/>
        </w:rPr>
        <w:t>.</w:t>
      </w:r>
      <w:r>
        <w:rPr>
          <w:rFonts w:ascii="Cambria" w:hAnsi="Cambria"/>
          <w:color w:val="275317" w:themeColor="accent6" w:themeShade="80"/>
        </w:rPr>
        <w:t xml:space="preserve"> </w:t>
      </w:r>
      <w:r w:rsidR="00EF1BCF" w:rsidRPr="00EF1BCF">
        <w:rPr>
          <w:rFonts w:ascii="Cambria" w:hAnsi="Cambria"/>
          <w:color w:val="275317" w:themeColor="accent6" w:themeShade="80"/>
          <w:highlight w:val="red"/>
        </w:rPr>
        <w:t>(rectificar</w:t>
      </w:r>
      <w:r w:rsidRPr="00EF1BCF">
        <w:rPr>
          <w:rFonts w:ascii="Cambria" w:hAnsi="Cambria"/>
          <w:color w:val="275317" w:themeColor="accent6" w:themeShade="80"/>
          <w:highlight w:val="red"/>
        </w:rPr>
        <w:t xml:space="preserve"> en pliego</w:t>
      </w:r>
      <w:r w:rsidR="00EF1BCF" w:rsidRPr="00EF1BCF">
        <w:rPr>
          <w:rFonts w:ascii="Cambria" w:hAnsi="Cambria"/>
          <w:color w:val="275317" w:themeColor="accent6" w:themeShade="80"/>
          <w:highlight w:val="red"/>
        </w:rPr>
        <w:t xml:space="preserve"> por especialista en adquisiciones).</w:t>
      </w:r>
    </w:p>
    <w:p w14:paraId="3F04DC47" w14:textId="77777777" w:rsidR="005221FF" w:rsidRPr="00891530" w:rsidRDefault="005221FF" w:rsidP="00E1521D">
      <w:pPr>
        <w:jc w:val="both"/>
      </w:pPr>
    </w:p>
    <w:p w14:paraId="7AE2E0E1" w14:textId="77777777" w:rsidR="00891530" w:rsidRPr="00891530" w:rsidRDefault="00891530" w:rsidP="00E1521D">
      <w:pPr>
        <w:jc w:val="both"/>
      </w:pPr>
    </w:p>
    <w:p w14:paraId="6CDA22F4" w14:textId="77777777" w:rsidR="00891530" w:rsidRPr="00891530" w:rsidRDefault="00891530" w:rsidP="00E1521D">
      <w:pPr>
        <w:jc w:val="both"/>
      </w:pPr>
      <w:r w:rsidRPr="00891530">
        <w:rPr>
          <w:b/>
          <w:bCs/>
        </w:rPr>
        <w:t xml:space="preserve">Consulta No. XX. CONTRACTUAL / FINANCIERO. Garantía de mantenimiento de oferta. </w:t>
      </w:r>
      <w:r w:rsidRPr="00891530">
        <w:t xml:space="preserve">La Garantía de Mantenimiento de la Oferta es US$1,164,000 (monto único). ¿Este monto es por lote o cubre la totalidad de lotes ofertados? Si </w:t>
      </w:r>
      <w:proofErr w:type="gramStart"/>
      <w:r w:rsidRPr="00891530">
        <w:t>un licitante oferta</w:t>
      </w:r>
      <w:proofErr w:type="gramEnd"/>
      <w:r w:rsidRPr="00891530">
        <w:t xml:space="preserve"> 3 lotes, ¿debe presentar US$1,164,000 × 3 = US$3,492,000 o una sola garantía de US$1,164,000? </w:t>
      </w:r>
    </w:p>
    <w:p w14:paraId="077BD75E" w14:textId="77777777" w:rsidR="00891530" w:rsidRPr="00891530" w:rsidRDefault="00891530" w:rsidP="00E1521D">
      <w:pPr>
        <w:jc w:val="both"/>
      </w:pPr>
      <w:r w:rsidRPr="00891530">
        <w:t>Agradeceríamos confirmar si el monto exigido aplica por lote o por la totalidad de la oferta.</w:t>
      </w:r>
    </w:p>
    <w:p w14:paraId="3501D3D7" w14:textId="77777777" w:rsidR="00891530" w:rsidRPr="00891530" w:rsidRDefault="00891530" w:rsidP="00E1521D">
      <w:pPr>
        <w:jc w:val="both"/>
      </w:pPr>
    </w:p>
    <w:p w14:paraId="2228BCC5" w14:textId="77777777" w:rsidR="00891530" w:rsidRPr="00891530" w:rsidRDefault="00891530" w:rsidP="00E1521D">
      <w:pPr>
        <w:jc w:val="both"/>
      </w:pPr>
      <w:r w:rsidRPr="00891530">
        <w:rPr>
          <w:b/>
          <w:bCs/>
        </w:rPr>
        <w:t>Respuesta:</w:t>
      </w:r>
    </w:p>
    <w:p w14:paraId="0FDE86FE" w14:textId="01752861" w:rsidR="00891530" w:rsidRDefault="005221FF" w:rsidP="00E1521D">
      <w:pPr>
        <w:jc w:val="both"/>
        <w:rPr>
          <w:b/>
          <w:bCs/>
        </w:rPr>
      </w:pPr>
      <w:r>
        <w:rPr>
          <w:rFonts w:ascii="Cambria" w:hAnsi="Cambria"/>
          <w:color w:val="275317" w:themeColor="accent6" w:themeShade="80"/>
        </w:rPr>
        <w:t>Consulta administrativa</w:t>
      </w:r>
    </w:p>
    <w:p w14:paraId="267DA63F" w14:textId="3D5F8B64" w:rsidR="005221FF" w:rsidRDefault="005221FF" w:rsidP="00E1521D">
      <w:pPr>
        <w:jc w:val="both"/>
        <w:rPr>
          <w:b/>
          <w:bCs/>
        </w:rPr>
      </w:pPr>
    </w:p>
    <w:p w14:paraId="15734044" w14:textId="77777777" w:rsidR="005221FF" w:rsidRPr="00891530" w:rsidRDefault="005221FF" w:rsidP="00E1521D">
      <w:pPr>
        <w:jc w:val="both"/>
        <w:rPr>
          <w:b/>
          <w:bCs/>
        </w:rPr>
      </w:pPr>
    </w:p>
    <w:p w14:paraId="66ED854E" w14:textId="77777777" w:rsidR="00891530" w:rsidRPr="00891530" w:rsidRDefault="00891530" w:rsidP="00E1521D">
      <w:pPr>
        <w:jc w:val="both"/>
      </w:pPr>
      <w:r w:rsidRPr="00891530">
        <w:rPr>
          <w:b/>
          <w:bCs/>
        </w:rPr>
        <w:lastRenderedPageBreak/>
        <w:t xml:space="preserve">Consulta No. XXX. Ajuste de precios. </w:t>
      </w:r>
      <w:r w:rsidRPr="00891530">
        <w:t xml:space="preserve">DDL indica que los precios "no estarán sujetos a ajuste" (precio fijo), pero IAL 19.3(a) contempla ajuste por inflación local (Banco Central RD) y del país de la moneda extranjera durante prórrogas del plazo de validez. ¿Este ajuste aplica solo a la validez de la oferta, o también a la ejecución del contrato? ¿Qué sucede si hay demoras de 6+ meses en adjudicación? </w:t>
      </w:r>
    </w:p>
    <w:p w14:paraId="411FE2AB" w14:textId="77777777" w:rsidR="00891530" w:rsidRPr="00891530" w:rsidRDefault="00891530" w:rsidP="00E1521D">
      <w:pPr>
        <w:jc w:val="both"/>
      </w:pPr>
      <w:r w:rsidRPr="00891530">
        <w:t>Agradeceríamos confirmar si los mecanismos de ajuste aplican únicamente durante la validez de la oferta o también durante la ejecución del contrato.</w:t>
      </w:r>
    </w:p>
    <w:p w14:paraId="7F479215" w14:textId="77777777" w:rsidR="00891530" w:rsidRPr="00891530" w:rsidRDefault="00891530" w:rsidP="00E1521D">
      <w:pPr>
        <w:jc w:val="both"/>
      </w:pPr>
    </w:p>
    <w:p w14:paraId="77BC3945" w14:textId="77777777" w:rsidR="00891530" w:rsidRPr="00891530" w:rsidRDefault="00891530" w:rsidP="00E1521D">
      <w:pPr>
        <w:jc w:val="both"/>
      </w:pPr>
      <w:r w:rsidRPr="00891530">
        <w:rPr>
          <w:b/>
          <w:bCs/>
        </w:rPr>
        <w:t>Respuesta:</w:t>
      </w:r>
    </w:p>
    <w:p w14:paraId="0AEDFFD6" w14:textId="1456775A" w:rsidR="00891530" w:rsidRDefault="005221FF" w:rsidP="00E1521D">
      <w:pPr>
        <w:jc w:val="both"/>
      </w:pPr>
      <w:r>
        <w:rPr>
          <w:rFonts w:ascii="Cambria" w:hAnsi="Cambria"/>
          <w:color w:val="275317" w:themeColor="accent6" w:themeShade="80"/>
        </w:rPr>
        <w:t>Consulta administrativa</w:t>
      </w:r>
    </w:p>
    <w:p w14:paraId="7A3D14DE" w14:textId="77777777" w:rsidR="005221FF" w:rsidRPr="00891530" w:rsidRDefault="005221FF" w:rsidP="00E1521D">
      <w:pPr>
        <w:jc w:val="both"/>
      </w:pPr>
    </w:p>
    <w:p w14:paraId="677C5A47" w14:textId="77777777" w:rsidR="00891530" w:rsidRPr="00891530" w:rsidRDefault="00891530" w:rsidP="00E1521D">
      <w:pPr>
        <w:jc w:val="both"/>
      </w:pPr>
    </w:p>
    <w:p w14:paraId="28A05612" w14:textId="77777777" w:rsidR="00891530" w:rsidRPr="00891530" w:rsidRDefault="00891530" w:rsidP="00E1521D">
      <w:pPr>
        <w:jc w:val="both"/>
        <w:rPr>
          <w:b/>
          <w:bCs/>
        </w:rPr>
      </w:pPr>
      <w:r w:rsidRPr="00891530">
        <w:rPr>
          <w:b/>
          <w:bCs/>
        </w:rPr>
        <w:t xml:space="preserve">Consulta No. XX. Moneda y actualización </w:t>
      </w:r>
    </w:p>
    <w:p w14:paraId="2A12C92E" w14:textId="77777777" w:rsidR="00891530" w:rsidRPr="00891530" w:rsidRDefault="00891530" w:rsidP="00E1521D">
      <w:pPr>
        <w:jc w:val="both"/>
      </w:pPr>
      <w:r w:rsidRPr="00891530">
        <w:t>En relación con lo establecido en las IAL 18.1–18.2 y 19.3, así como en el DDL, respecto a la moneda de oferta, evaluación y posibles ajustes, agradeceríamos confirmar lo siguiente:</w:t>
      </w:r>
    </w:p>
    <w:p w14:paraId="2DBCBEFB" w14:textId="77777777" w:rsidR="00891530" w:rsidRPr="00891530" w:rsidRDefault="00891530" w:rsidP="00E1521D">
      <w:pPr>
        <w:numPr>
          <w:ilvl w:val="0"/>
          <w:numId w:val="9"/>
        </w:numPr>
        <w:jc w:val="both"/>
      </w:pPr>
      <w:r w:rsidRPr="00891530">
        <w:t xml:space="preserve">Moneda de oferta y pagos </w:t>
      </w:r>
    </w:p>
    <w:p w14:paraId="3CF771C9" w14:textId="77777777" w:rsidR="00891530" w:rsidRPr="00891530" w:rsidRDefault="00891530" w:rsidP="00E1521D">
      <w:pPr>
        <w:numPr>
          <w:ilvl w:val="1"/>
          <w:numId w:val="9"/>
        </w:numPr>
        <w:jc w:val="both"/>
      </w:pPr>
      <w:r w:rsidRPr="00891530">
        <w:t xml:space="preserve">Requerimos confirmar que si el licitante presenta su oferta en USD (u otra moneda extranjera), los pagos durante la ejecución del contrato se realizarán en dicha moneda ofertada. </w:t>
      </w:r>
    </w:p>
    <w:p w14:paraId="7BD4F43F" w14:textId="77777777" w:rsidR="00891530" w:rsidRPr="00891530" w:rsidRDefault="00891530" w:rsidP="00E1521D">
      <w:pPr>
        <w:numPr>
          <w:ilvl w:val="0"/>
          <w:numId w:val="9"/>
        </w:numPr>
        <w:jc w:val="both"/>
      </w:pPr>
      <w:r w:rsidRPr="00891530">
        <w:t xml:space="preserve">Tipo de cambio para pagos </w:t>
      </w:r>
    </w:p>
    <w:p w14:paraId="33AB18FD" w14:textId="77777777" w:rsidR="00891530" w:rsidRPr="00891530" w:rsidRDefault="00891530" w:rsidP="00E1521D">
      <w:pPr>
        <w:numPr>
          <w:ilvl w:val="1"/>
          <w:numId w:val="9"/>
        </w:numPr>
        <w:jc w:val="both"/>
      </w:pPr>
      <w:r w:rsidRPr="00891530">
        <w:t>En caso de pagos en moneda local para gastos locales,</w:t>
      </w:r>
      <w:r w:rsidRPr="00891530">
        <w:br/>
        <w:t xml:space="preserve">¿qué tipo de cambio se aplicará (fecha de facturación, pago, u otro criterio definido)? </w:t>
      </w:r>
    </w:p>
    <w:p w14:paraId="45EA5E61" w14:textId="77777777" w:rsidR="00891530" w:rsidRPr="00891530" w:rsidRDefault="00891530" w:rsidP="00E1521D">
      <w:pPr>
        <w:jc w:val="both"/>
      </w:pPr>
    </w:p>
    <w:p w14:paraId="4B33791E" w14:textId="542D8518" w:rsidR="00891530" w:rsidRDefault="00891530" w:rsidP="00E1521D">
      <w:pPr>
        <w:jc w:val="both"/>
        <w:rPr>
          <w:b/>
          <w:bCs/>
        </w:rPr>
      </w:pPr>
      <w:r w:rsidRPr="00891530">
        <w:rPr>
          <w:b/>
          <w:bCs/>
        </w:rPr>
        <w:t>Respuesta:</w:t>
      </w:r>
    </w:p>
    <w:p w14:paraId="7157DBE8" w14:textId="529C4C97" w:rsidR="005221FF" w:rsidRPr="00891530" w:rsidRDefault="005221FF" w:rsidP="00E1521D">
      <w:pPr>
        <w:jc w:val="both"/>
      </w:pPr>
      <w:r>
        <w:rPr>
          <w:rFonts w:ascii="Cambria" w:hAnsi="Cambria"/>
          <w:color w:val="275317" w:themeColor="accent6" w:themeShade="80"/>
        </w:rPr>
        <w:t>Consulta administrativa</w:t>
      </w:r>
    </w:p>
    <w:p w14:paraId="10BA517D" w14:textId="77777777" w:rsidR="00891530" w:rsidRPr="00891530" w:rsidRDefault="00891530" w:rsidP="00E1521D">
      <w:pPr>
        <w:jc w:val="both"/>
      </w:pPr>
    </w:p>
    <w:p w14:paraId="56D4D6DD" w14:textId="77777777" w:rsidR="00891530" w:rsidRPr="00891530" w:rsidRDefault="00891530" w:rsidP="00E1521D">
      <w:pPr>
        <w:jc w:val="both"/>
        <w:rPr>
          <w:b/>
          <w:bCs/>
        </w:rPr>
      </w:pPr>
      <w:r w:rsidRPr="00891530">
        <w:rPr>
          <w:b/>
          <w:bCs/>
        </w:rPr>
        <w:t xml:space="preserve">Consulta No. XX. Alcance del ajuste de precios (IAL 19.3) </w:t>
      </w:r>
    </w:p>
    <w:p w14:paraId="3E43CDCD" w14:textId="77777777" w:rsidR="00891530" w:rsidRPr="00891530" w:rsidRDefault="00891530" w:rsidP="00E1521D">
      <w:pPr>
        <w:numPr>
          <w:ilvl w:val="1"/>
          <w:numId w:val="9"/>
        </w:numPr>
        <w:jc w:val="both"/>
        <w:rPr>
          <w:b/>
          <w:bCs/>
        </w:rPr>
      </w:pPr>
      <w:r w:rsidRPr="00891530">
        <w:rPr>
          <w:b/>
          <w:bCs/>
        </w:rPr>
        <w:t>Se indica que el ajuste por inflación aplica durante prórrogas del plazo de validez de la oferta.</w:t>
      </w:r>
      <w:r w:rsidRPr="00891530">
        <w:rPr>
          <w:b/>
          <w:bCs/>
        </w:rPr>
        <w:br/>
        <w:t xml:space="preserve">¿Este mecanismo de actualización aplica únicamente antes de la adjudicación (fase de oferta), o también durante la ejecución del contrato en caso de ampliaciones de plazo? </w:t>
      </w:r>
    </w:p>
    <w:p w14:paraId="4A3B126E" w14:textId="77777777" w:rsidR="00891530" w:rsidRPr="00891530" w:rsidRDefault="00891530" w:rsidP="00E1521D">
      <w:pPr>
        <w:jc w:val="both"/>
      </w:pPr>
      <w:r w:rsidRPr="00891530">
        <w:rPr>
          <w:b/>
          <w:bCs/>
        </w:rPr>
        <w:t>Respuesta:</w:t>
      </w:r>
    </w:p>
    <w:p w14:paraId="573EE173" w14:textId="72815441" w:rsidR="00891530" w:rsidRDefault="005221FF" w:rsidP="00E1521D">
      <w:pPr>
        <w:jc w:val="both"/>
      </w:pPr>
      <w:r>
        <w:rPr>
          <w:rFonts w:ascii="Cambria" w:hAnsi="Cambria"/>
          <w:color w:val="275317" w:themeColor="accent6" w:themeShade="80"/>
        </w:rPr>
        <w:t>Consulta administrativa</w:t>
      </w:r>
    </w:p>
    <w:p w14:paraId="306D772A" w14:textId="77777777" w:rsidR="005221FF" w:rsidRPr="00891530" w:rsidRDefault="005221FF" w:rsidP="00E1521D">
      <w:pPr>
        <w:jc w:val="both"/>
      </w:pPr>
    </w:p>
    <w:p w14:paraId="225BCA4D" w14:textId="77777777" w:rsidR="00891530" w:rsidRPr="00891530" w:rsidRDefault="00891530" w:rsidP="00E1521D">
      <w:pPr>
        <w:jc w:val="both"/>
        <w:rPr>
          <w:b/>
          <w:bCs/>
        </w:rPr>
      </w:pPr>
      <w:r w:rsidRPr="00891530">
        <w:rPr>
          <w:b/>
          <w:bCs/>
        </w:rPr>
        <w:t xml:space="preserve">Consulta No. XX. Riesgo por demoras en adjudicación </w:t>
      </w:r>
    </w:p>
    <w:p w14:paraId="366CB76D" w14:textId="77777777" w:rsidR="00891530" w:rsidRPr="00891530" w:rsidRDefault="00891530" w:rsidP="00E1521D">
      <w:pPr>
        <w:numPr>
          <w:ilvl w:val="1"/>
          <w:numId w:val="9"/>
        </w:numPr>
        <w:jc w:val="both"/>
        <w:rPr>
          <w:b/>
          <w:bCs/>
        </w:rPr>
      </w:pPr>
      <w:r w:rsidRPr="00891530">
        <w:rPr>
          <w:b/>
          <w:bCs/>
        </w:rPr>
        <w:t>En caso de que el proceso de adjudicación se extienda más allá del periodo inicial de validez de la oferta, ¿cómo se aplican los mecanismos de ajuste indicados en IAL 19.3 para mantener el equilibrio económico de la propuesta?</w:t>
      </w:r>
    </w:p>
    <w:p w14:paraId="03C5A712" w14:textId="77777777" w:rsidR="00891530" w:rsidRPr="00891530" w:rsidRDefault="00891530" w:rsidP="00E1521D">
      <w:pPr>
        <w:jc w:val="both"/>
      </w:pPr>
    </w:p>
    <w:p w14:paraId="50A7022E" w14:textId="77777777" w:rsidR="00891530" w:rsidRPr="00891530" w:rsidRDefault="00891530" w:rsidP="00E1521D">
      <w:pPr>
        <w:jc w:val="both"/>
      </w:pPr>
      <w:r w:rsidRPr="00891530">
        <w:rPr>
          <w:b/>
          <w:bCs/>
        </w:rPr>
        <w:t>Respuesta:</w:t>
      </w:r>
    </w:p>
    <w:p w14:paraId="320B71BC" w14:textId="5351565E" w:rsidR="00891530" w:rsidRDefault="005221FF" w:rsidP="00E1521D">
      <w:pPr>
        <w:jc w:val="both"/>
        <w:rPr>
          <w:b/>
          <w:bCs/>
        </w:rPr>
      </w:pPr>
      <w:r>
        <w:rPr>
          <w:rFonts w:ascii="Cambria" w:hAnsi="Cambria"/>
          <w:color w:val="275317" w:themeColor="accent6" w:themeShade="80"/>
        </w:rPr>
        <w:t>Consulta administrativa</w:t>
      </w:r>
    </w:p>
    <w:p w14:paraId="618D1AC7" w14:textId="5AB8A09D" w:rsidR="005221FF" w:rsidRDefault="005221FF" w:rsidP="00E1521D">
      <w:pPr>
        <w:jc w:val="both"/>
        <w:rPr>
          <w:b/>
          <w:bCs/>
        </w:rPr>
      </w:pPr>
    </w:p>
    <w:p w14:paraId="77F69A7F" w14:textId="77777777" w:rsidR="00EF1BCF" w:rsidRDefault="00EF1BCF" w:rsidP="00E1521D">
      <w:pPr>
        <w:jc w:val="both"/>
        <w:rPr>
          <w:b/>
          <w:bCs/>
        </w:rPr>
      </w:pPr>
    </w:p>
    <w:p w14:paraId="79F8E5CE" w14:textId="5C94FD01" w:rsidR="005221FF" w:rsidRDefault="005221FF" w:rsidP="00E1521D">
      <w:pPr>
        <w:jc w:val="both"/>
        <w:rPr>
          <w:b/>
          <w:bCs/>
        </w:rPr>
      </w:pPr>
    </w:p>
    <w:p w14:paraId="7C16F6A9" w14:textId="77777777" w:rsidR="00891530" w:rsidRPr="00891530" w:rsidRDefault="00891530" w:rsidP="00E1521D">
      <w:pPr>
        <w:jc w:val="both"/>
        <w:rPr>
          <w:b/>
          <w:bCs/>
        </w:rPr>
      </w:pPr>
      <w:r w:rsidRPr="00891530">
        <w:rPr>
          <w:b/>
          <w:bCs/>
        </w:rPr>
        <w:lastRenderedPageBreak/>
        <w:t xml:space="preserve">Consulta XX. Sección II: Datos de la Licitación: Listado con los últimos suministros de más de 1.000 luminarias LED efectuados, indicando fecha de su realización, modelos y número de unidades (Pág. 50 del pliego de condiciones). Listado con los últimos suministros de más de 100.000 luminarias LED efectuados, indicando fecha de su realización, modelos y número de unidades (Pág. 63 del pliego de condiciones).  En el marco de la Licitación MEM-BID LPI-2026-001, hemos identificado una discrepancia en los requisitos de experiencia del fabricante, específicamente en relación con el "Listado con los últimos suministros de luminarias LED".  </w:t>
      </w:r>
    </w:p>
    <w:p w14:paraId="1801A889" w14:textId="77777777" w:rsidR="00891530" w:rsidRPr="00891530" w:rsidRDefault="00891530" w:rsidP="00E1521D">
      <w:pPr>
        <w:jc w:val="both"/>
        <w:rPr>
          <w:b/>
          <w:bCs/>
        </w:rPr>
      </w:pPr>
      <w:r w:rsidRPr="00891530">
        <w:rPr>
          <w:b/>
          <w:bCs/>
        </w:rPr>
        <w:t xml:space="preserve">1. ¿Cuál de los dos requisitos (1.000 o 100.000 luminarias) es el que deben cumplir los fabricantes? </w:t>
      </w:r>
    </w:p>
    <w:p w14:paraId="12AB3C0E" w14:textId="77777777" w:rsidR="00891530" w:rsidRPr="00891530" w:rsidRDefault="00891530" w:rsidP="00E1521D">
      <w:pPr>
        <w:jc w:val="both"/>
        <w:rPr>
          <w:b/>
          <w:bCs/>
        </w:rPr>
      </w:pPr>
      <w:r w:rsidRPr="00891530">
        <w:rPr>
          <w:b/>
          <w:bCs/>
        </w:rPr>
        <w:t xml:space="preserve">2. Si el requisito correcto es 100.000 luminarias, ¿se trata de un error tipográfico en la página 50? </w:t>
      </w:r>
    </w:p>
    <w:p w14:paraId="4E2BA5F9" w14:textId="77777777" w:rsidR="00891530" w:rsidRPr="00891530" w:rsidRDefault="00891530" w:rsidP="00E1521D">
      <w:pPr>
        <w:jc w:val="both"/>
        <w:rPr>
          <w:b/>
          <w:bCs/>
        </w:rPr>
      </w:pPr>
      <w:r w:rsidRPr="00891530">
        <w:rPr>
          <w:b/>
          <w:bCs/>
        </w:rPr>
        <w:t xml:space="preserve">3. En relación con "los últimos suministros", ¿a qué período de tiempo se refiere específicamente? ¿A los últimos 5 años, 10 años, o desde el año 2015 (en coherencia con otros requisitos de experiencia del pliego)? </w:t>
      </w:r>
    </w:p>
    <w:p w14:paraId="7B8B26D5" w14:textId="77777777" w:rsidR="00891530" w:rsidRPr="00891530" w:rsidRDefault="00891530" w:rsidP="00E1521D">
      <w:pPr>
        <w:jc w:val="both"/>
        <w:rPr>
          <w:b/>
          <w:bCs/>
        </w:rPr>
      </w:pPr>
      <w:r w:rsidRPr="00891530">
        <w:rPr>
          <w:b/>
          <w:bCs/>
        </w:rPr>
        <w:t>4. Para acreditar este requisito, ¿es suficiente presentar un listado firmado por el fabricante, sin necesidad de documentos adicionales ni apostilla?</w:t>
      </w:r>
    </w:p>
    <w:p w14:paraId="245DB05E" w14:textId="77777777" w:rsidR="00891530" w:rsidRPr="00891530" w:rsidRDefault="00891530" w:rsidP="00E1521D">
      <w:pPr>
        <w:jc w:val="both"/>
        <w:rPr>
          <w:b/>
          <w:bCs/>
        </w:rPr>
      </w:pPr>
    </w:p>
    <w:p w14:paraId="3943CAB5" w14:textId="77777777" w:rsidR="00891530" w:rsidRPr="00891530" w:rsidRDefault="00891530" w:rsidP="00E1521D">
      <w:pPr>
        <w:jc w:val="both"/>
      </w:pPr>
      <w:r w:rsidRPr="00891530">
        <w:rPr>
          <w:b/>
          <w:bCs/>
        </w:rPr>
        <w:t>Respuesta:</w:t>
      </w:r>
    </w:p>
    <w:p w14:paraId="0DB452F3" w14:textId="46F9147A" w:rsidR="00EF1BCF" w:rsidRDefault="00CC65A6" w:rsidP="00EF1BCF">
      <w:pPr>
        <w:jc w:val="both"/>
        <w:rPr>
          <w:rFonts w:ascii="Cambria" w:hAnsi="Cambria"/>
          <w:color w:val="275317" w:themeColor="accent6" w:themeShade="80"/>
        </w:rPr>
      </w:pPr>
      <w:r w:rsidRPr="00EF1BCF">
        <w:rPr>
          <w:rFonts w:ascii="Cambria" w:hAnsi="Cambria"/>
          <w:color w:val="275317" w:themeColor="accent6" w:themeShade="80"/>
        </w:rPr>
        <w:t xml:space="preserve">100.000, se modifica en pliego, se refiere a los últimos 10 años, se solicitará certificación del </w:t>
      </w:r>
      <w:r w:rsidR="00EF1BCF" w:rsidRPr="00EF1BCF">
        <w:rPr>
          <w:rFonts w:ascii="Cambria" w:hAnsi="Cambria"/>
          <w:color w:val="275317" w:themeColor="accent6" w:themeShade="80"/>
        </w:rPr>
        <w:t>fabricante</w:t>
      </w:r>
      <w:r w:rsidRPr="00EF1BCF">
        <w:rPr>
          <w:rFonts w:ascii="Cambria" w:hAnsi="Cambria"/>
          <w:color w:val="275317" w:themeColor="accent6" w:themeShade="80"/>
        </w:rPr>
        <w:t xml:space="preserve">, </w:t>
      </w:r>
      <w:r w:rsidRPr="00EF1BCF">
        <w:rPr>
          <w:rFonts w:ascii="Cambria" w:hAnsi="Cambria"/>
          <w:color w:val="275317" w:themeColor="accent6" w:themeShade="80"/>
          <w:highlight w:val="yellow"/>
        </w:rPr>
        <w:t>no será necesario que esté apostillada</w:t>
      </w:r>
      <w:r w:rsidR="00EF1BCF" w:rsidRPr="00EF1BCF">
        <w:rPr>
          <w:rFonts w:ascii="Cambria" w:hAnsi="Cambria"/>
          <w:color w:val="275317" w:themeColor="accent6" w:themeShade="80"/>
        </w:rPr>
        <w:t>.</w:t>
      </w:r>
      <w:r w:rsidR="00EF1BCF" w:rsidRPr="00EF1BCF">
        <w:rPr>
          <w:rFonts w:ascii="Cambria" w:hAnsi="Cambria"/>
          <w:color w:val="275317" w:themeColor="accent6" w:themeShade="80"/>
          <w:highlight w:val="red"/>
        </w:rPr>
        <w:t xml:space="preserve"> </w:t>
      </w:r>
      <w:r w:rsidR="00EF1BCF" w:rsidRPr="00EF1BCF">
        <w:rPr>
          <w:rFonts w:ascii="Cambria" w:hAnsi="Cambria"/>
          <w:color w:val="275317" w:themeColor="accent6" w:themeShade="80"/>
          <w:highlight w:val="red"/>
        </w:rPr>
        <w:t>(</w:t>
      </w:r>
      <w:r w:rsidR="00EF1BCF">
        <w:rPr>
          <w:rFonts w:ascii="Cambria" w:hAnsi="Cambria"/>
          <w:color w:val="275317" w:themeColor="accent6" w:themeShade="80"/>
          <w:highlight w:val="red"/>
        </w:rPr>
        <w:t xml:space="preserve">el punto marcado en amarillo debe ser </w:t>
      </w:r>
      <w:r w:rsidR="00EF1BCF" w:rsidRPr="00EF1BCF">
        <w:rPr>
          <w:rFonts w:ascii="Cambria" w:hAnsi="Cambria"/>
          <w:color w:val="275317" w:themeColor="accent6" w:themeShade="80"/>
          <w:highlight w:val="red"/>
        </w:rPr>
        <w:t>rectifica</w:t>
      </w:r>
      <w:r w:rsidR="00EF1BCF">
        <w:rPr>
          <w:rFonts w:ascii="Cambria" w:hAnsi="Cambria"/>
          <w:color w:val="275317" w:themeColor="accent6" w:themeShade="80"/>
          <w:highlight w:val="red"/>
        </w:rPr>
        <w:t>do</w:t>
      </w:r>
      <w:r w:rsidR="00EF1BCF" w:rsidRPr="00EF1BCF">
        <w:rPr>
          <w:rFonts w:ascii="Cambria" w:hAnsi="Cambria"/>
          <w:color w:val="275317" w:themeColor="accent6" w:themeShade="80"/>
          <w:highlight w:val="red"/>
        </w:rPr>
        <w:t xml:space="preserve"> </w:t>
      </w:r>
      <w:r w:rsidR="00EF1BCF">
        <w:rPr>
          <w:rFonts w:ascii="Cambria" w:hAnsi="Cambria"/>
          <w:color w:val="275317" w:themeColor="accent6" w:themeShade="80"/>
          <w:highlight w:val="red"/>
        </w:rPr>
        <w:t>por el especialista en</w:t>
      </w:r>
      <w:r w:rsidR="00EF1BCF" w:rsidRPr="00EF1BCF">
        <w:rPr>
          <w:rFonts w:ascii="Cambria" w:hAnsi="Cambria"/>
          <w:color w:val="275317" w:themeColor="accent6" w:themeShade="80"/>
          <w:highlight w:val="red"/>
        </w:rPr>
        <w:t xml:space="preserve"> adquisiciones).</w:t>
      </w:r>
    </w:p>
    <w:p w14:paraId="59DEE37B" w14:textId="77777777" w:rsidR="00EF1BCF" w:rsidRPr="00891530" w:rsidRDefault="00EF1BCF" w:rsidP="00EF1BCF">
      <w:pPr>
        <w:jc w:val="both"/>
      </w:pPr>
    </w:p>
    <w:p w14:paraId="4C5C4A08" w14:textId="77777777" w:rsidR="00891530" w:rsidRPr="00891530" w:rsidRDefault="00891530" w:rsidP="00E1521D">
      <w:pPr>
        <w:jc w:val="both"/>
        <w:rPr>
          <w:b/>
          <w:bCs/>
        </w:rPr>
      </w:pPr>
    </w:p>
    <w:p w14:paraId="0B90EA54" w14:textId="77777777" w:rsidR="00891530" w:rsidRPr="00891530" w:rsidRDefault="00891530" w:rsidP="00E1521D">
      <w:pPr>
        <w:jc w:val="both"/>
        <w:rPr>
          <w:b/>
          <w:bCs/>
        </w:rPr>
      </w:pPr>
      <w:r w:rsidRPr="00891530">
        <w:rPr>
          <w:b/>
          <w:bCs/>
        </w:rPr>
        <w:t xml:space="preserve">Consulta No. XX. Sección I: Instrucciones a los Licitantes: La Oferta, y toda la correspondencia y documentos relativos a ella que intercambien el Licitante y el Contratante, deberán redactarse en el idioma que se indica en los DDL. Los documentos de respaldo y el material impreso que formen parte de la Oferta podrán estar escritos en otro idioma, siempre y cuando vayan acompañados de una traducción fidedigna de las secciones pertinentes al idioma que se especifica en los DDL, en cuyo caso la traducción prevalecerá en lo que respecta a la interpretación de la Oferta.  (Pág. 19 del pliego de condiciones). </w:t>
      </w:r>
    </w:p>
    <w:p w14:paraId="517A4EB0" w14:textId="77777777" w:rsidR="00891530" w:rsidRPr="00891530" w:rsidRDefault="00891530" w:rsidP="00E1521D">
      <w:pPr>
        <w:jc w:val="both"/>
        <w:rPr>
          <w:b/>
          <w:bCs/>
        </w:rPr>
      </w:pPr>
      <w:r w:rsidRPr="00891530">
        <w:rPr>
          <w:b/>
          <w:bCs/>
        </w:rPr>
        <w:t xml:space="preserve">Sección II: Datos de la Licitación: IAL 10.1 El idioma de la Oferta es: español Todo intercambio de correspondencia deberá ser en español (Pág. 46 del pliego de condiciones). Para los documentos de respaldo del fabricante, ¿considera el Contratante que es suficiente presentar una traducción al español de dichos documentos, sin necesidad de legalización, apostilla o cualquier tipo de autenticación adicional? </w:t>
      </w:r>
    </w:p>
    <w:p w14:paraId="5C299C4A" w14:textId="77777777" w:rsidR="00891530" w:rsidRPr="00891530" w:rsidRDefault="00891530" w:rsidP="00E1521D">
      <w:pPr>
        <w:jc w:val="both"/>
        <w:rPr>
          <w:b/>
          <w:bCs/>
        </w:rPr>
      </w:pPr>
    </w:p>
    <w:p w14:paraId="435DA15E" w14:textId="77777777" w:rsidR="00891530" w:rsidRPr="00891530" w:rsidRDefault="00891530" w:rsidP="00E1521D">
      <w:pPr>
        <w:jc w:val="both"/>
      </w:pPr>
      <w:r w:rsidRPr="00891530">
        <w:rPr>
          <w:b/>
          <w:bCs/>
        </w:rPr>
        <w:t xml:space="preserve"> Respuesta:</w:t>
      </w:r>
    </w:p>
    <w:p w14:paraId="7A046EDC" w14:textId="67E4CD57" w:rsidR="00891530" w:rsidRDefault="005221FF" w:rsidP="00E1521D">
      <w:pPr>
        <w:jc w:val="both"/>
        <w:rPr>
          <w:rFonts w:ascii="Cambria" w:hAnsi="Cambria"/>
          <w:color w:val="275317" w:themeColor="accent6" w:themeShade="80"/>
        </w:rPr>
      </w:pPr>
      <w:r>
        <w:rPr>
          <w:rFonts w:ascii="Cambria" w:hAnsi="Cambria"/>
          <w:color w:val="275317" w:themeColor="accent6" w:themeShade="80"/>
        </w:rPr>
        <w:t>Consulta administrativa</w:t>
      </w:r>
    </w:p>
    <w:p w14:paraId="4FA65FAA" w14:textId="77777777" w:rsidR="005221FF" w:rsidRDefault="005221FF" w:rsidP="00E1521D">
      <w:pPr>
        <w:jc w:val="both"/>
        <w:rPr>
          <w:b/>
          <w:bCs/>
        </w:rPr>
      </w:pPr>
    </w:p>
    <w:p w14:paraId="6F3195B1" w14:textId="77777777" w:rsidR="005221FF" w:rsidRPr="00891530" w:rsidRDefault="005221FF" w:rsidP="00E1521D">
      <w:pPr>
        <w:jc w:val="both"/>
        <w:rPr>
          <w:b/>
          <w:bCs/>
        </w:rPr>
      </w:pPr>
    </w:p>
    <w:p w14:paraId="171DD45A" w14:textId="77777777" w:rsidR="00891530" w:rsidRPr="00891530" w:rsidRDefault="00891530" w:rsidP="00E1521D">
      <w:pPr>
        <w:jc w:val="both"/>
        <w:rPr>
          <w:b/>
          <w:bCs/>
        </w:rPr>
      </w:pPr>
      <w:r w:rsidRPr="00891530">
        <w:rPr>
          <w:b/>
          <w:bCs/>
        </w:rPr>
        <w:t>Consulta No. XX. Confirmar si un mismo fabricante puede integrar distintos consorcios para participar de manera independiente en cada uno de los lotes (EDENORTE, EDEESTE y EDESUR), aun cuando dichos consorcios sean jurídicamente distintos, pero compartan dicho fabricante como elemento común.</w:t>
      </w:r>
    </w:p>
    <w:p w14:paraId="6E683FDB" w14:textId="77777777" w:rsidR="00891530" w:rsidRPr="00891530" w:rsidRDefault="00891530" w:rsidP="00E1521D">
      <w:pPr>
        <w:jc w:val="both"/>
        <w:rPr>
          <w:b/>
          <w:bCs/>
        </w:rPr>
      </w:pPr>
    </w:p>
    <w:p w14:paraId="3066B97C" w14:textId="77777777" w:rsidR="00891530" w:rsidRPr="00891530" w:rsidRDefault="00891530" w:rsidP="00E1521D">
      <w:pPr>
        <w:jc w:val="both"/>
      </w:pPr>
      <w:r w:rsidRPr="00891530">
        <w:rPr>
          <w:b/>
          <w:bCs/>
        </w:rPr>
        <w:t>Respuesta:</w:t>
      </w:r>
    </w:p>
    <w:p w14:paraId="6FE68683" w14:textId="04A5B1AA" w:rsidR="00891530" w:rsidRPr="00891530" w:rsidRDefault="00D65C20" w:rsidP="00E1521D">
      <w:pPr>
        <w:jc w:val="both"/>
        <w:rPr>
          <w:b/>
          <w:bCs/>
        </w:rPr>
      </w:pPr>
      <w:r>
        <w:rPr>
          <w:rFonts w:ascii="Cambria" w:hAnsi="Cambria"/>
          <w:color w:val="275317" w:themeColor="accent6" w:themeShade="80"/>
        </w:rPr>
        <w:lastRenderedPageBreak/>
        <w:t>Consulta administrativa</w:t>
      </w:r>
    </w:p>
    <w:p w14:paraId="79C33FD4" w14:textId="77777777" w:rsidR="00891530" w:rsidRPr="00891530" w:rsidRDefault="00891530" w:rsidP="00E1521D">
      <w:pPr>
        <w:jc w:val="both"/>
        <w:rPr>
          <w:b/>
          <w:bCs/>
        </w:rPr>
      </w:pPr>
      <w:r w:rsidRPr="00891530">
        <w:rPr>
          <w:b/>
          <w:bCs/>
        </w:rPr>
        <w:t> </w:t>
      </w:r>
    </w:p>
    <w:p w14:paraId="5274AC1D" w14:textId="77777777" w:rsidR="00891530" w:rsidRPr="00891530" w:rsidRDefault="00891530" w:rsidP="00E1521D">
      <w:pPr>
        <w:jc w:val="both"/>
        <w:rPr>
          <w:b/>
          <w:bCs/>
        </w:rPr>
      </w:pPr>
      <w:r w:rsidRPr="00891530">
        <w:rPr>
          <w:b/>
          <w:bCs/>
        </w:rPr>
        <w:t>Consulta No. XX. Precisar el alcance de los indicadores financieros requeridos:</w:t>
      </w:r>
    </w:p>
    <w:p w14:paraId="60FBB75D" w14:textId="77777777" w:rsidR="00891530" w:rsidRPr="00891530" w:rsidRDefault="00891530" w:rsidP="00E1521D">
      <w:pPr>
        <w:jc w:val="both"/>
        <w:rPr>
          <w:b/>
          <w:bCs/>
        </w:rPr>
      </w:pPr>
      <w:r w:rsidRPr="00891530">
        <w:rPr>
          <w:b/>
          <w:bCs/>
        </w:rPr>
        <w:t>- Si la experiencia mínima de USD 15,000,000 por lote debe sustentarse en contratos ejecutados o en facturación acumulada.</w:t>
      </w:r>
    </w:p>
    <w:p w14:paraId="33B65B07" w14:textId="77777777" w:rsidR="00891530" w:rsidRPr="00891530" w:rsidRDefault="00891530" w:rsidP="00E1521D">
      <w:pPr>
        <w:jc w:val="both"/>
        <w:rPr>
          <w:b/>
          <w:bCs/>
        </w:rPr>
      </w:pPr>
      <w:r w:rsidRPr="00891530">
        <w:rPr>
          <w:b/>
          <w:bCs/>
        </w:rPr>
        <w:t>- El período de tiempo válido para la acreditación de dicha experiencia.</w:t>
      </w:r>
    </w:p>
    <w:p w14:paraId="75CEF920" w14:textId="77777777" w:rsidR="00891530" w:rsidRPr="00891530" w:rsidRDefault="00891530" w:rsidP="00E1521D">
      <w:pPr>
        <w:jc w:val="both"/>
        <w:rPr>
          <w:b/>
          <w:bCs/>
        </w:rPr>
      </w:pPr>
    </w:p>
    <w:p w14:paraId="20383BCF" w14:textId="77777777" w:rsidR="00891530" w:rsidRPr="00891530" w:rsidRDefault="00891530" w:rsidP="00E1521D">
      <w:pPr>
        <w:jc w:val="both"/>
      </w:pPr>
      <w:r w:rsidRPr="00891530">
        <w:rPr>
          <w:b/>
          <w:bCs/>
        </w:rPr>
        <w:t>Respuesta:</w:t>
      </w:r>
    </w:p>
    <w:p w14:paraId="285B3F5B" w14:textId="639D7BA8" w:rsidR="00891530" w:rsidRPr="00891530" w:rsidRDefault="00D65C20" w:rsidP="00E1521D">
      <w:pPr>
        <w:jc w:val="both"/>
        <w:rPr>
          <w:b/>
          <w:bCs/>
        </w:rPr>
      </w:pPr>
      <w:r>
        <w:rPr>
          <w:rFonts w:ascii="Cambria" w:hAnsi="Cambria"/>
          <w:color w:val="275317" w:themeColor="accent6" w:themeShade="80"/>
        </w:rPr>
        <w:t>Consulta administrativa</w:t>
      </w:r>
    </w:p>
    <w:p w14:paraId="4F9A40A7" w14:textId="77777777" w:rsidR="00891530" w:rsidRPr="00891530" w:rsidRDefault="00891530" w:rsidP="00E1521D">
      <w:pPr>
        <w:jc w:val="both"/>
        <w:rPr>
          <w:b/>
          <w:bCs/>
        </w:rPr>
      </w:pPr>
    </w:p>
    <w:p w14:paraId="6BAF2227" w14:textId="77777777" w:rsidR="00891530" w:rsidRPr="00891530" w:rsidRDefault="00891530" w:rsidP="00E1521D">
      <w:pPr>
        <w:jc w:val="both"/>
        <w:rPr>
          <w:b/>
          <w:bCs/>
        </w:rPr>
      </w:pPr>
      <w:r w:rsidRPr="00891530">
        <w:rPr>
          <w:b/>
          <w:bCs/>
        </w:rPr>
        <w:t> </w:t>
      </w:r>
    </w:p>
    <w:p w14:paraId="38BE2A0E" w14:textId="77777777" w:rsidR="00891530" w:rsidRPr="00891530" w:rsidRDefault="00891530" w:rsidP="00E1521D">
      <w:pPr>
        <w:jc w:val="both"/>
        <w:rPr>
          <w:b/>
          <w:bCs/>
        </w:rPr>
      </w:pPr>
      <w:r w:rsidRPr="00891530">
        <w:rPr>
          <w:b/>
          <w:bCs/>
        </w:rPr>
        <w:t>Consulta No. XX. Dado el limitado plazo disponible para la estructuración de ofertas y la formalización legal de consorcios, solicitamos se evalúe formalmente una prórroga en la fecha de presentación, a fin de garantizar una participación real y competitiva.</w:t>
      </w:r>
    </w:p>
    <w:p w14:paraId="72602689" w14:textId="77777777" w:rsidR="00891530" w:rsidRPr="00891530" w:rsidRDefault="00891530" w:rsidP="00E1521D">
      <w:pPr>
        <w:jc w:val="both"/>
        <w:rPr>
          <w:b/>
          <w:bCs/>
        </w:rPr>
      </w:pPr>
      <w:r w:rsidRPr="00891530">
        <w:rPr>
          <w:b/>
          <w:bCs/>
        </w:rPr>
        <w:t> </w:t>
      </w:r>
    </w:p>
    <w:p w14:paraId="6DB35299" w14:textId="77777777" w:rsidR="00891530" w:rsidRPr="00891530" w:rsidRDefault="00891530" w:rsidP="00E1521D">
      <w:pPr>
        <w:jc w:val="both"/>
      </w:pPr>
      <w:r w:rsidRPr="00EF1BCF">
        <w:rPr>
          <w:b/>
          <w:bCs/>
          <w:highlight w:val="green"/>
        </w:rPr>
        <w:t>Respuesta:</w:t>
      </w:r>
    </w:p>
    <w:p w14:paraId="1374A91A" w14:textId="20FEBB75" w:rsidR="00891530" w:rsidRPr="00D65C20" w:rsidRDefault="00D65C20" w:rsidP="00E1521D">
      <w:pPr>
        <w:jc w:val="both"/>
        <w:rPr>
          <w:rFonts w:ascii="Cambria" w:hAnsi="Cambria"/>
          <w:color w:val="275317" w:themeColor="accent6" w:themeShade="80"/>
        </w:rPr>
      </w:pPr>
      <w:r w:rsidRPr="00D65C20">
        <w:rPr>
          <w:rFonts w:ascii="Cambria" w:hAnsi="Cambria"/>
          <w:color w:val="275317" w:themeColor="accent6" w:themeShade="80"/>
        </w:rPr>
        <w:t>Valorar la posibilidad de ampliar el plazo para la entrega de las propuestas</w:t>
      </w:r>
      <w:r w:rsidR="00EF1BCF">
        <w:rPr>
          <w:rFonts w:ascii="Cambria" w:hAnsi="Cambria"/>
          <w:color w:val="275317" w:themeColor="accent6" w:themeShade="80"/>
        </w:rPr>
        <w:t xml:space="preserve">. </w:t>
      </w:r>
      <w:r w:rsidR="00EF1BCF" w:rsidRPr="00EF1BCF">
        <w:rPr>
          <w:rFonts w:ascii="Cambria" w:hAnsi="Cambria"/>
          <w:color w:val="275317" w:themeColor="accent6" w:themeShade="80"/>
          <w:highlight w:val="red"/>
        </w:rPr>
        <w:t>(validar con el coordinador general de UEP)</w:t>
      </w:r>
    </w:p>
    <w:p w14:paraId="7D88051C" w14:textId="77777777" w:rsidR="00891530" w:rsidRPr="00891530" w:rsidRDefault="00891530" w:rsidP="00E1521D">
      <w:pPr>
        <w:jc w:val="both"/>
        <w:rPr>
          <w:b/>
          <w:bCs/>
        </w:rPr>
      </w:pPr>
    </w:p>
    <w:p w14:paraId="66390BFD" w14:textId="77777777" w:rsidR="00891530" w:rsidRPr="00891530" w:rsidRDefault="00891530" w:rsidP="00E1521D">
      <w:pPr>
        <w:jc w:val="both"/>
        <w:rPr>
          <w:b/>
          <w:bCs/>
        </w:rPr>
      </w:pPr>
      <w:r w:rsidRPr="00891530">
        <w:rPr>
          <w:b/>
          <w:bCs/>
        </w:rPr>
        <w:t>Consulta No. XX. Consideramos importante dejar constancia de que las condiciones actuales del pliego, particularmente en lo relativo al volumen exigido (250,000 luminarias) y a los indicadores financieros, podrían restringir significativamente la participación de empresas dominicanas con experiencia comprobada en el mercado local. En tal sentido, solicitamos se evalúe la revisión y flexibilización de estos requisitos, en aras de promover una mayor concurrencia y competencia efectiva, en consonancia con los principios que rigen los procesos financiados por el Banco Interamericano de Desarrollo (BID).</w:t>
      </w:r>
    </w:p>
    <w:p w14:paraId="358DDCD3" w14:textId="77777777" w:rsidR="00891530" w:rsidRPr="00891530" w:rsidRDefault="00891530" w:rsidP="00E1521D">
      <w:pPr>
        <w:jc w:val="both"/>
        <w:rPr>
          <w:b/>
          <w:bCs/>
        </w:rPr>
      </w:pPr>
    </w:p>
    <w:p w14:paraId="1E5D646B" w14:textId="77777777" w:rsidR="00891530" w:rsidRPr="00891530" w:rsidRDefault="00891530" w:rsidP="00E1521D">
      <w:pPr>
        <w:jc w:val="both"/>
        <w:rPr>
          <w:b/>
          <w:bCs/>
        </w:rPr>
      </w:pPr>
      <w:r w:rsidRPr="00EF1BCF">
        <w:rPr>
          <w:b/>
          <w:bCs/>
          <w:highlight w:val="green"/>
        </w:rPr>
        <w:t>Respuesta:</w:t>
      </w:r>
    </w:p>
    <w:p w14:paraId="7FE22792" w14:textId="0DDB1BBB" w:rsidR="00891530" w:rsidRPr="00891530" w:rsidRDefault="00EF71BC" w:rsidP="00E1521D">
      <w:pPr>
        <w:jc w:val="both"/>
        <w:rPr>
          <w:b/>
          <w:bCs/>
        </w:rPr>
      </w:pPr>
      <w:r>
        <w:rPr>
          <w:rFonts w:ascii="Cambria" w:hAnsi="Cambria"/>
          <w:color w:val="275317" w:themeColor="accent6" w:themeShade="80"/>
        </w:rPr>
        <w:t>Se exige el número de luminaria correspondiente a cada lote.</w:t>
      </w:r>
    </w:p>
    <w:p w14:paraId="22150FEA" w14:textId="77777777" w:rsidR="00891530" w:rsidRPr="00891530" w:rsidRDefault="00891530" w:rsidP="00E1521D">
      <w:pPr>
        <w:jc w:val="both"/>
        <w:rPr>
          <w:b/>
          <w:bCs/>
        </w:rPr>
      </w:pPr>
    </w:p>
    <w:p w14:paraId="1D1051DC" w14:textId="77777777" w:rsidR="00891530" w:rsidRPr="00891530" w:rsidRDefault="00891530" w:rsidP="00E1521D">
      <w:pPr>
        <w:jc w:val="both"/>
      </w:pPr>
      <w:r w:rsidRPr="00891530">
        <w:rPr>
          <w:b/>
          <w:bCs/>
        </w:rPr>
        <w:t>Consulta No. XX. Sobre la Insuficiencia de Plazos y Solicitud de Prórroga. “</w:t>
      </w:r>
      <w:r w:rsidRPr="00891530">
        <w:t xml:space="preserve">Considerando que la publicación de la Circular de Respuestas y Enmiendas está prevista para el 2 de mayo de 2026, y la entrega de ofertas para el 20 de mayo, los oferentes disponen de solo 18 días calendarios para ajustar diseños, fabricar muestras, gestionar fletes aéreos internacionales y realizar ensayos de laboratorio de larga duración (ej. Corrosión C4 - ISO 12944 y certificaciones </w:t>
      </w:r>
      <w:proofErr w:type="spellStart"/>
      <w:r w:rsidRPr="00891530">
        <w:t>DarkSky</w:t>
      </w:r>
      <w:proofErr w:type="spellEnd"/>
      <w:r w:rsidRPr="00891530">
        <w:t>). A fin de garantizar la máxima concurrencia y la calidad técnica de las propuestas conforme a las políticas del BID, se solicita formalmente:</w:t>
      </w:r>
    </w:p>
    <w:p w14:paraId="16213433" w14:textId="77777777" w:rsidR="00891530" w:rsidRPr="00891530" w:rsidRDefault="00891530" w:rsidP="00E1521D">
      <w:pPr>
        <w:jc w:val="both"/>
      </w:pPr>
      <w:r w:rsidRPr="00891530">
        <w:t xml:space="preserve">• </w:t>
      </w:r>
      <w:r w:rsidRPr="00891530">
        <w:rPr>
          <w:b/>
          <w:bCs/>
        </w:rPr>
        <w:t>Opción A:</w:t>
      </w:r>
      <w:r w:rsidRPr="00891530">
        <w:t xml:space="preserve"> Aceptar una 'Declaración de Compromiso del Fabricante' o reportes preliminares con la oferta, permitiendo la entrega de certificados definitivos antes del primer embarque.</w:t>
      </w:r>
    </w:p>
    <w:p w14:paraId="12DC42C0" w14:textId="77777777" w:rsidR="00891530" w:rsidRPr="00891530" w:rsidRDefault="00891530" w:rsidP="00E1521D">
      <w:pPr>
        <w:jc w:val="both"/>
      </w:pPr>
      <w:r w:rsidRPr="00891530">
        <w:t xml:space="preserve">• </w:t>
      </w:r>
      <w:r w:rsidRPr="00891530">
        <w:rPr>
          <w:b/>
          <w:bCs/>
        </w:rPr>
        <w:t>Opción B:</w:t>
      </w:r>
      <w:r w:rsidRPr="00891530">
        <w:t xml:space="preserve"> Modificar el cronograma del proceso, prorrogando la fecha de presentación de ofertas por un plazo adicional de </w:t>
      </w:r>
      <w:r w:rsidRPr="00891530">
        <w:rPr>
          <w:b/>
          <w:bCs/>
        </w:rPr>
        <w:t>cuarenta y cinco (45) días calendarios</w:t>
      </w:r>
      <w:r w:rsidRPr="00891530">
        <w:t>, asegurando que los productos ofertados cumplan estrictamente con cualquier cambio técnico introducido en la circular.”</w:t>
      </w:r>
    </w:p>
    <w:p w14:paraId="26F97866" w14:textId="382ED1D1" w:rsidR="00891530" w:rsidRDefault="00891530" w:rsidP="00E1521D">
      <w:pPr>
        <w:jc w:val="both"/>
        <w:rPr>
          <w:b/>
          <w:bCs/>
        </w:rPr>
      </w:pPr>
      <w:r w:rsidRPr="00891530">
        <w:rPr>
          <w:b/>
          <w:bCs/>
        </w:rPr>
        <w:t>Respuesta:</w:t>
      </w:r>
    </w:p>
    <w:p w14:paraId="224EE39D" w14:textId="6AB16DFE" w:rsidR="00D65C20" w:rsidRPr="00891530" w:rsidRDefault="00D65C20" w:rsidP="00E1521D">
      <w:pPr>
        <w:jc w:val="both"/>
        <w:rPr>
          <w:b/>
          <w:bCs/>
        </w:rPr>
      </w:pPr>
      <w:r>
        <w:rPr>
          <w:rFonts w:ascii="Cambria" w:hAnsi="Cambria"/>
          <w:color w:val="275317" w:themeColor="accent6" w:themeShade="80"/>
        </w:rPr>
        <w:t>Consulta administrativa</w:t>
      </w:r>
      <w:r w:rsidR="006F3D9F">
        <w:rPr>
          <w:rFonts w:ascii="Cambria" w:hAnsi="Cambria"/>
          <w:color w:val="275317" w:themeColor="accent6" w:themeShade="80"/>
        </w:rPr>
        <w:t>.</w:t>
      </w:r>
    </w:p>
    <w:p w14:paraId="4B8CA0D1" w14:textId="77777777" w:rsidR="00891530" w:rsidRPr="00891530" w:rsidRDefault="00891530" w:rsidP="00E1521D">
      <w:pPr>
        <w:jc w:val="both"/>
      </w:pPr>
    </w:p>
    <w:p w14:paraId="6D0261DE" w14:textId="77777777" w:rsidR="00891530" w:rsidRPr="00891530" w:rsidRDefault="00891530" w:rsidP="00E1521D">
      <w:pPr>
        <w:jc w:val="both"/>
      </w:pPr>
      <w:r w:rsidRPr="00891530">
        <w:rPr>
          <w:b/>
          <w:bCs/>
        </w:rPr>
        <w:t xml:space="preserve">CONSULTA XX: Sobre la Equivalencia Universal y Duplicidad Redundante de Normas. </w:t>
      </w:r>
      <w:r w:rsidRPr="00891530">
        <w:t xml:space="preserve">"En la Sección VI y las PDTG se solicita frecuentemente el cumplimiento concurrente de normas </w:t>
      </w:r>
      <w:r w:rsidRPr="00891530">
        <w:rPr>
          <w:b/>
          <w:bCs/>
        </w:rPr>
        <w:t>UL/ANSI</w:t>
      </w:r>
      <w:r w:rsidRPr="00891530">
        <w:t xml:space="preserve"> y sus </w:t>
      </w:r>
      <w:proofErr w:type="gramStart"/>
      <w:r w:rsidRPr="00891530">
        <w:t xml:space="preserve">equivalentes”  </w:t>
      </w:r>
      <w:r w:rsidRPr="00891530">
        <w:rPr>
          <w:b/>
          <w:bCs/>
        </w:rPr>
        <w:t>IEC</w:t>
      </w:r>
      <w:proofErr w:type="gramEnd"/>
      <w:r w:rsidRPr="00891530">
        <w:rPr>
          <w:b/>
          <w:bCs/>
        </w:rPr>
        <w:t>/EN para un mismo equipo.</w:t>
      </w:r>
      <w:r w:rsidRPr="00891530">
        <w:t xml:space="preserve"> Dado que exigir la certificación bajo ambos marcos normativos simultáneamente resulta técnicamente innecesario y encarece la oferta de forma artificial, ¿confirmará la UEP que, en virtud del principio de economía y eficiencia del BID, bastará con el cumplimiento de </w:t>
      </w:r>
      <w:r w:rsidRPr="00891530">
        <w:rPr>
          <w:b/>
          <w:bCs/>
        </w:rPr>
        <w:t>uno de los dos marcos</w:t>
      </w:r>
      <w:r w:rsidRPr="00891530">
        <w:t xml:space="preserve"> para validar la idoneidad técnica del componente?"</w:t>
      </w:r>
    </w:p>
    <w:p w14:paraId="6EFDB557" w14:textId="77777777" w:rsidR="006F3D9F" w:rsidRDefault="006F3D9F" w:rsidP="00E1521D">
      <w:pPr>
        <w:jc w:val="both"/>
        <w:rPr>
          <w:b/>
          <w:bCs/>
        </w:rPr>
      </w:pPr>
    </w:p>
    <w:p w14:paraId="0F7169BA" w14:textId="1348E81F" w:rsidR="00891530" w:rsidRPr="00891530" w:rsidRDefault="00891530" w:rsidP="00E1521D">
      <w:pPr>
        <w:jc w:val="both"/>
        <w:rPr>
          <w:b/>
          <w:bCs/>
        </w:rPr>
      </w:pPr>
      <w:r w:rsidRPr="006F3D9F">
        <w:rPr>
          <w:b/>
          <w:bCs/>
        </w:rPr>
        <w:t>Respuesta:</w:t>
      </w:r>
    </w:p>
    <w:p w14:paraId="0CF1C397" w14:textId="1622C0C5" w:rsidR="00891530" w:rsidRPr="00D65C20" w:rsidRDefault="00D65C20" w:rsidP="00E1521D">
      <w:pPr>
        <w:jc w:val="both"/>
        <w:rPr>
          <w:rFonts w:ascii="Cambria" w:hAnsi="Cambria"/>
          <w:color w:val="275317" w:themeColor="accent6" w:themeShade="80"/>
        </w:rPr>
      </w:pPr>
      <w:r w:rsidRPr="00D65C20">
        <w:rPr>
          <w:rFonts w:ascii="Cambria" w:hAnsi="Cambria"/>
          <w:color w:val="275317" w:themeColor="accent6" w:themeShade="80"/>
        </w:rPr>
        <w:t>Se consideran válidas las normativas internacionales equivalentes a la normativa ANSI que corresponda en cada caso</w:t>
      </w:r>
      <w:r w:rsidR="006F3D9F">
        <w:rPr>
          <w:rFonts w:ascii="Cambria" w:hAnsi="Cambria"/>
          <w:color w:val="275317" w:themeColor="accent6" w:themeShade="80"/>
        </w:rPr>
        <w:t>.</w:t>
      </w:r>
    </w:p>
    <w:p w14:paraId="3C3D271C" w14:textId="77777777" w:rsidR="00D65C20" w:rsidRPr="00891530" w:rsidRDefault="00D65C20" w:rsidP="00E1521D">
      <w:pPr>
        <w:jc w:val="both"/>
      </w:pPr>
    </w:p>
    <w:p w14:paraId="57CE9D75" w14:textId="77777777" w:rsidR="00891530" w:rsidRPr="00891530" w:rsidRDefault="00891530" w:rsidP="00E1521D">
      <w:pPr>
        <w:jc w:val="both"/>
        <w:rPr>
          <w:b/>
          <w:bCs/>
        </w:rPr>
      </w:pPr>
      <w:r w:rsidRPr="00891530">
        <w:rPr>
          <w:b/>
          <w:bCs/>
        </w:rPr>
        <w:t xml:space="preserve">CONSULTA </w:t>
      </w:r>
      <w:proofErr w:type="spellStart"/>
      <w:proofErr w:type="gramStart"/>
      <w:r w:rsidRPr="00891530">
        <w:rPr>
          <w:b/>
          <w:bCs/>
        </w:rPr>
        <w:t>No.xx</w:t>
      </w:r>
      <w:proofErr w:type="spellEnd"/>
      <w:proofErr w:type="gramEnd"/>
      <w:r w:rsidRPr="00891530">
        <w:rPr>
          <w:b/>
          <w:bCs/>
        </w:rPr>
        <w:t>: Sobre la Viabilidad y Costo del Receptáculo de 7 Pines. "Las especificaciones exigen un receptáculo físico NEMA de 7 pines (ANSI C136.41). No obstante, las luminarias de última generación (</w:t>
      </w:r>
      <w:proofErr w:type="spellStart"/>
      <w:r w:rsidRPr="00891530">
        <w:rPr>
          <w:b/>
          <w:bCs/>
        </w:rPr>
        <w:t>IoT</w:t>
      </w:r>
      <w:proofErr w:type="spellEnd"/>
      <w:r w:rsidRPr="00891530">
        <w:rPr>
          <w:b/>
          <w:bCs/>
        </w:rPr>
        <w:t xml:space="preserve"> Celular) realizan la telegestión de forma nativa e interna, eliminando la necesidad de conectores externos que son puntos vulnerables para el ingreso de humedad (IP) y sabotaje. Exigir obligatoriamente este receptáculo en el MEM-LPI-BID-01-2026 impone un sobrecosto que no se traduce en funcionalidad para sistemas integrados. ¿Se permitirá ofertar luminarias que garanticen el control y monitoreo mediante hardware interno en lugar de un receptáculo externo, optimizando el presupuesto del Estado Dominicano?".</w:t>
      </w:r>
    </w:p>
    <w:p w14:paraId="4715B4AB" w14:textId="77777777" w:rsidR="006F3D9F" w:rsidRDefault="006F3D9F" w:rsidP="00E1521D">
      <w:pPr>
        <w:jc w:val="both"/>
        <w:rPr>
          <w:b/>
          <w:bCs/>
        </w:rPr>
      </w:pPr>
    </w:p>
    <w:p w14:paraId="2C7B7310" w14:textId="714D8C8B" w:rsidR="00891530" w:rsidRPr="00891530" w:rsidRDefault="00891530" w:rsidP="00E1521D">
      <w:pPr>
        <w:jc w:val="both"/>
        <w:rPr>
          <w:b/>
          <w:bCs/>
        </w:rPr>
      </w:pPr>
      <w:r w:rsidRPr="006F3D9F">
        <w:rPr>
          <w:b/>
          <w:bCs/>
          <w:highlight w:val="green"/>
        </w:rPr>
        <w:t>Respuesta:</w:t>
      </w:r>
    </w:p>
    <w:p w14:paraId="4658B539" w14:textId="35E11188" w:rsidR="00D65C20" w:rsidRPr="006F3D9F" w:rsidRDefault="006F3D9F" w:rsidP="00E1521D">
      <w:pPr>
        <w:jc w:val="both"/>
        <w:rPr>
          <w:rFonts w:ascii="Cambria" w:hAnsi="Cambria"/>
          <w:color w:val="275317" w:themeColor="accent6" w:themeShade="80"/>
        </w:rPr>
      </w:pPr>
      <w:r w:rsidRPr="00D65C20">
        <w:rPr>
          <w:rFonts w:ascii="Cambria" w:hAnsi="Cambria"/>
          <w:color w:val="275317" w:themeColor="accent6" w:themeShade="80"/>
        </w:rPr>
        <w:t>Todas las luminarias debe</w:t>
      </w:r>
      <w:r>
        <w:rPr>
          <w:rFonts w:ascii="Cambria" w:hAnsi="Cambria"/>
          <w:color w:val="275317" w:themeColor="accent6" w:themeShade="80"/>
        </w:rPr>
        <w:t>n</w:t>
      </w:r>
      <w:r w:rsidRPr="00D65C20">
        <w:rPr>
          <w:rFonts w:ascii="Cambria" w:hAnsi="Cambria"/>
          <w:color w:val="275317" w:themeColor="accent6" w:themeShade="80"/>
        </w:rPr>
        <w:t xml:space="preserve"> </w:t>
      </w:r>
      <w:r>
        <w:rPr>
          <w:rFonts w:ascii="Cambria" w:hAnsi="Cambria"/>
          <w:color w:val="275317" w:themeColor="accent6" w:themeShade="80"/>
        </w:rPr>
        <w:t>incluir la base para nodo</w:t>
      </w:r>
      <w:r w:rsidRPr="00D65C20">
        <w:rPr>
          <w:rFonts w:ascii="Cambria" w:hAnsi="Cambria"/>
          <w:color w:val="275317" w:themeColor="accent6" w:themeShade="80"/>
        </w:rPr>
        <w:t xml:space="preserve"> NEMA 7 pines</w:t>
      </w:r>
      <w:r>
        <w:rPr>
          <w:rFonts w:ascii="Cambria" w:hAnsi="Cambria"/>
          <w:color w:val="275317" w:themeColor="accent6" w:themeShade="80"/>
        </w:rPr>
        <w:t xml:space="preserve"> y será prevista en los pliegos de condiciones del proceso.</w:t>
      </w:r>
    </w:p>
    <w:p w14:paraId="63C11520" w14:textId="77777777" w:rsidR="00D65C20" w:rsidRPr="00891530" w:rsidRDefault="00D65C20" w:rsidP="00E1521D">
      <w:pPr>
        <w:jc w:val="both"/>
      </w:pPr>
    </w:p>
    <w:p w14:paraId="0DF867B6" w14:textId="77777777" w:rsidR="00891530" w:rsidRPr="00891530" w:rsidRDefault="00891530" w:rsidP="00E1521D">
      <w:pPr>
        <w:jc w:val="both"/>
      </w:pPr>
      <w:r w:rsidRPr="00891530">
        <w:rPr>
          <w:b/>
          <w:bCs/>
        </w:rPr>
        <w:t xml:space="preserve">CONSULTA </w:t>
      </w:r>
      <w:proofErr w:type="spellStart"/>
      <w:proofErr w:type="gramStart"/>
      <w:r w:rsidRPr="00891530">
        <w:rPr>
          <w:b/>
          <w:bCs/>
        </w:rPr>
        <w:t>No.XX</w:t>
      </w:r>
      <w:proofErr w:type="spellEnd"/>
      <w:proofErr w:type="gramEnd"/>
      <w:r w:rsidRPr="00891530">
        <w:rPr>
          <w:b/>
          <w:bCs/>
        </w:rPr>
        <w:t xml:space="preserve">: Sobre el Impacto del Sistema de Control en el Hardware (MEM-LPI-BID-01-2026).  </w:t>
      </w:r>
      <w:r w:rsidRPr="00891530">
        <w:t>"Dado que el MEM ha definido que el suministro de luminarias (01) y la plataforma de telegestión (02) son procesos independientes, solicitamos que los requerimientos del sistema de control no introduzcan complejidades de hardware adicionales en esta etapa que desvirtúen la eficiencia de la luminaria LED. En este sentido, ¿eliminará el Contratante la obligatoriedad de conectores específicos que condicionan la arquitectura del futuro MEM-LPI-BID-02-2026, permitiendo una competencia pura basada en el desempeño fotométrico y la eficacia lumínica (≥150 lm/W)?".</w:t>
      </w:r>
    </w:p>
    <w:p w14:paraId="0B1CCB57" w14:textId="77777777" w:rsidR="006F3D9F" w:rsidRDefault="006F3D9F" w:rsidP="00E1521D">
      <w:pPr>
        <w:jc w:val="both"/>
        <w:rPr>
          <w:b/>
          <w:bCs/>
        </w:rPr>
      </w:pPr>
    </w:p>
    <w:p w14:paraId="0DAF5935" w14:textId="166A67CC" w:rsidR="00891530" w:rsidRPr="00891530" w:rsidRDefault="00891530" w:rsidP="00E1521D">
      <w:pPr>
        <w:jc w:val="both"/>
        <w:rPr>
          <w:b/>
          <w:bCs/>
        </w:rPr>
      </w:pPr>
      <w:r w:rsidRPr="006F3D9F">
        <w:rPr>
          <w:b/>
          <w:bCs/>
          <w:highlight w:val="green"/>
        </w:rPr>
        <w:t>Respuesta:</w:t>
      </w:r>
    </w:p>
    <w:p w14:paraId="153400C2" w14:textId="61DECE8C" w:rsidR="00D65C20" w:rsidRPr="00D65C20" w:rsidRDefault="00D65C20" w:rsidP="00E1521D">
      <w:pPr>
        <w:jc w:val="both"/>
        <w:rPr>
          <w:rFonts w:ascii="Cambria" w:hAnsi="Cambria"/>
          <w:color w:val="275317" w:themeColor="accent6" w:themeShade="80"/>
        </w:rPr>
      </w:pPr>
      <w:r w:rsidRPr="00D65C20">
        <w:rPr>
          <w:rFonts w:ascii="Cambria" w:hAnsi="Cambria"/>
          <w:color w:val="275317" w:themeColor="accent6" w:themeShade="80"/>
        </w:rPr>
        <w:t>Todas las luminarias debe</w:t>
      </w:r>
      <w:r w:rsidR="006F3D9F">
        <w:rPr>
          <w:rFonts w:ascii="Cambria" w:hAnsi="Cambria"/>
          <w:color w:val="275317" w:themeColor="accent6" w:themeShade="80"/>
        </w:rPr>
        <w:t>n</w:t>
      </w:r>
      <w:r w:rsidRPr="00D65C20">
        <w:rPr>
          <w:rFonts w:ascii="Cambria" w:hAnsi="Cambria"/>
          <w:color w:val="275317" w:themeColor="accent6" w:themeShade="80"/>
        </w:rPr>
        <w:t xml:space="preserve"> </w:t>
      </w:r>
      <w:r>
        <w:rPr>
          <w:rFonts w:ascii="Cambria" w:hAnsi="Cambria"/>
          <w:color w:val="275317" w:themeColor="accent6" w:themeShade="80"/>
        </w:rPr>
        <w:t>incluir la base para nodo</w:t>
      </w:r>
      <w:r w:rsidRPr="00D65C20">
        <w:rPr>
          <w:rFonts w:ascii="Cambria" w:hAnsi="Cambria"/>
          <w:color w:val="275317" w:themeColor="accent6" w:themeShade="80"/>
        </w:rPr>
        <w:t xml:space="preserve"> NEMA 7 pines</w:t>
      </w:r>
      <w:r w:rsidR="006F3D9F">
        <w:rPr>
          <w:rFonts w:ascii="Cambria" w:hAnsi="Cambria"/>
          <w:color w:val="275317" w:themeColor="accent6" w:themeShade="80"/>
        </w:rPr>
        <w:t xml:space="preserve"> y será prevista en los pliegos de condiciones del proceso.</w:t>
      </w:r>
    </w:p>
    <w:p w14:paraId="1D67E0D7" w14:textId="77777777" w:rsidR="00891530" w:rsidRPr="00891530" w:rsidRDefault="00891530" w:rsidP="00E1521D">
      <w:pPr>
        <w:jc w:val="both"/>
      </w:pPr>
    </w:p>
    <w:p w14:paraId="352953C0" w14:textId="77777777" w:rsidR="00891530" w:rsidRPr="00FA70FE" w:rsidRDefault="00891530" w:rsidP="00E1521D">
      <w:pPr>
        <w:jc w:val="both"/>
      </w:pPr>
      <w:r w:rsidRPr="00FA70FE">
        <w:rPr>
          <w:b/>
          <w:bCs/>
        </w:rPr>
        <w:t xml:space="preserve">CONSULTA </w:t>
      </w:r>
      <w:proofErr w:type="spellStart"/>
      <w:proofErr w:type="gramStart"/>
      <w:r w:rsidRPr="00FA70FE">
        <w:rPr>
          <w:b/>
          <w:bCs/>
        </w:rPr>
        <w:t>No.XX</w:t>
      </w:r>
      <w:proofErr w:type="spellEnd"/>
      <w:proofErr w:type="gramEnd"/>
      <w:r w:rsidRPr="00FA70FE">
        <w:rPr>
          <w:b/>
          <w:bCs/>
        </w:rPr>
        <w:t xml:space="preserve">: Sobre el Índice de Deslumbramiento (G4) y la Seguridad Vial. </w:t>
      </w:r>
      <w:r w:rsidRPr="00FA70FE">
        <w:t xml:space="preserve">"El cumplimiento estricto del </w:t>
      </w:r>
      <w:r w:rsidRPr="00FA70FE">
        <w:rPr>
          <w:b/>
          <w:bCs/>
        </w:rPr>
        <w:t>índice G4</w:t>
      </w:r>
      <w:r w:rsidRPr="00FA70FE">
        <w:t xml:space="preserve"> en vías con relaciones inter-postales superiores a 3.5 compromete gravemente la uniformidad de la luminancia exigida por la </w:t>
      </w:r>
      <w:r w:rsidRPr="00FA70FE">
        <w:rPr>
          <w:b/>
          <w:bCs/>
        </w:rPr>
        <w:t>Resolución SIE-061-2025-REG</w:t>
      </w:r>
      <w:r w:rsidRPr="00FA70FE">
        <w:t xml:space="preserve">. ¿Confirmará la UEP que los oferentes podrán priorizar la </w:t>
      </w:r>
      <w:r w:rsidRPr="00FA70FE">
        <w:rPr>
          <w:b/>
          <w:bCs/>
        </w:rPr>
        <w:t>seguridad vial (uniformidad)</w:t>
      </w:r>
      <w:r w:rsidRPr="00FA70FE">
        <w:t xml:space="preserve"> sobre el índice G4 en sus diseños fotométricos, evitando así que el cumplimiento de un parámetro secundario degrade la calidad lumínica general del proyecto?".</w:t>
      </w:r>
    </w:p>
    <w:p w14:paraId="0D7EB6B5" w14:textId="77777777" w:rsidR="00891530" w:rsidRPr="00FA70FE" w:rsidRDefault="00891530" w:rsidP="00E1521D">
      <w:pPr>
        <w:jc w:val="both"/>
        <w:rPr>
          <w:b/>
          <w:bCs/>
        </w:rPr>
      </w:pPr>
      <w:r w:rsidRPr="00FA70FE">
        <w:rPr>
          <w:b/>
          <w:bCs/>
        </w:rPr>
        <w:lastRenderedPageBreak/>
        <w:t>Respuesta:</w:t>
      </w:r>
    </w:p>
    <w:p w14:paraId="40FD19AD" w14:textId="5D82E61D" w:rsidR="00C80BA5" w:rsidRPr="00D65C20" w:rsidRDefault="00FA70FE" w:rsidP="00E1521D">
      <w:pPr>
        <w:jc w:val="both"/>
        <w:rPr>
          <w:rFonts w:ascii="Cambria" w:hAnsi="Cambria"/>
          <w:color w:val="275317" w:themeColor="accent6" w:themeShade="80"/>
        </w:rPr>
      </w:pPr>
      <w:r w:rsidRPr="00FA70FE">
        <w:rPr>
          <w:rFonts w:ascii="Cambria" w:hAnsi="Cambria"/>
          <w:color w:val="275317" w:themeColor="accent6" w:themeShade="80"/>
        </w:rPr>
        <w:t>Sí, se considera valido priorizar</w:t>
      </w:r>
      <w:r>
        <w:rPr>
          <w:rFonts w:ascii="Cambria" w:hAnsi="Cambria"/>
          <w:color w:val="275317" w:themeColor="accent6" w:themeShade="80"/>
        </w:rPr>
        <w:t xml:space="preserve"> el cumplimiento de la uniformidad sobre el índice G4 en los casos en que corresponda.</w:t>
      </w:r>
    </w:p>
    <w:p w14:paraId="5255439C" w14:textId="77777777" w:rsidR="00891530" w:rsidRPr="00891530" w:rsidRDefault="00891530" w:rsidP="00E1521D">
      <w:pPr>
        <w:jc w:val="both"/>
      </w:pPr>
    </w:p>
    <w:p w14:paraId="2C0FA990" w14:textId="77777777" w:rsidR="00891530" w:rsidRPr="00891530" w:rsidRDefault="00891530" w:rsidP="00E1521D">
      <w:pPr>
        <w:jc w:val="both"/>
      </w:pPr>
      <w:r w:rsidRPr="00891530">
        <w:rPr>
          <w:b/>
          <w:bCs/>
        </w:rPr>
        <w:t xml:space="preserve">CONSULTA </w:t>
      </w:r>
      <w:proofErr w:type="spellStart"/>
      <w:proofErr w:type="gramStart"/>
      <w:r w:rsidRPr="00891530">
        <w:rPr>
          <w:b/>
          <w:bCs/>
        </w:rPr>
        <w:t>No.xx</w:t>
      </w:r>
      <w:proofErr w:type="spellEnd"/>
      <w:proofErr w:type="gramEnd"/>
      <w:r w:rsidRPr="00891530">
        <w:rPr>
          <w:b/>
          <w:bCs/>
        </w:rPr>
        <w:t xml:space="preserve">: Sobre la Mitigación de Riesgos por Arquitectura de Red.  </w:t>
      </w:r>
      <w:r w:rsidRPr="00891530">
        <w:t xml:space="preserve">"Los sistemas basados en </w:t>
      </w:r>
      <w:proofErr w:type="spellStart"/>
      <w:r w:rsidRPr="00891530">
        <w:t>gateways</w:t>
      </w:r>
      <w:proofErr w:type="spellEnd"/>
      <w:r w:rsidRPr="00891530">
        <w:t xml:space="preserve"> (</w:t>
      </w:r>
      <w:proofErr w:type="spellStart"/>
      <w:r w:rsidRPr="00891530">
        <w:t>LoRa</w:t>
      </w:r>
      <w:proofErr w:type="spellEnd"/>
      <w:r w:rsidRPr="00891530">
        <w:t>/</w:t>
      </w:r>
      <w:proofErr w:type="spellStart"/>
      <w:r w:rsidRPr="00891530">
        <w:t>Zigbee</w:t>
      </w:r>
      <w:proofErr w:type="spellEnd"/>
      <w:r w:rsidRPr="00891530">
        <w:t xml:space="preserve">) presentan 'puntos únicos de falla' críticos en el entorno climático de la República Dominicana. ¿Se otorgará una valoración técnica superior en la </w:t>
      </w:r>
      <w:r w:rsidRPr="00891530">
        <w:rPr>
          <w:b/>
          <w:bCs/>
        </w:rPr>
        <w:t>Memoria Técnica</w:t>
      </w:r>
      <w:r w:rsidRPr="00891530">
        <w:t xml:space="preserve"> a las luminarias que utilicen arquitecturas </w:t>
      </w:r>
      <w:r w:rsidRPr="00891530">
        <w:rPr>
          <w:b/>
          <w:bCs/>
        </w:rPr>
        <w:t>punto a punto (</w:t>
      </w:r>
      <w:proofErr w:type="spellStart"/>
      <w:r w:rsidRPr="00891530">
        <w:rPr>
          <w:b/>
          <w:bCs/>
        </w:rPr>
        <w:t>IoT</w:t>
      </w:r>
      <w:proofErr w:type="spellEnd"/>
      <w:r w:rsidRPr="00891530">
        <w:rPr>
          <w:b/>
          <w:bCs/>
        </w:rPr>
        <w:t xml:space="preserve"> Celular)</w:t>
      </w:r>
      <w:r w:rsidRPr="00891530">
        <w:t>, las cuales garantizan mayor disponibilidad del servicio al operar sobre redes licenciadas existentes?".</w:t>
      </w:r>
    </w:p>
    <w:p w14:paraId="24BFB6EB" w14:textId="77777777" w:rsidR="006F3D9F" w:rsidRDefault="006F3D9F" w:rsidP="00E1521D">
      <w:pPr>
        <w:jc w:val="both"/>
        <w:rPr>
          <w:b/>
          <w:bCs/>
        </w:rPr>
      </w:pPr>
    </w:p>
    <w:p w14:paraId="6FE8D6BF" w14:textId="33D59B9D" w:rsidR="00891530" w:rsidRDefault="00891530" w:rsidP="00E1521D">
      <w:pPr>
        <w:jc w:val="both"/>
        <w:rPr>
          <w:b/>
          <w:bCs/>
        </w:rPr>
      </w:pPr>
      <w:r w:rsidRPr="00891530">
        <w:rPr>
          <w:b/>
          <w:bCs/>
        </w:rPr>
        <w:t>Respuesta:</w:t>
      </w:r>
    </w:p>
    <w:p w14:paraId="09CCBE70" w14:textId="69D929E3" w:rsidR="00C80BA5" w:rsidRPr="00C80BA5" w:rsidRDefault="00657A82" w:rsidP="00E1521D">
      <w:pPr>
        <w:jc w:val="both"/>
        <w:rPr>
          <w:bCs/>
        </w:rPr>
      </w:pPr>
      <w:r>
        <w:rPr>
          <w:rFonts w:ascii="Cambria" w:hAnsi="Cambria"/>
          <w:color w:val="275317" w:themeColor="accent6" w:themeShade="80"/>
        </w:rPr>
        <w:t>Esta pregunta no pertenece a esta licitación.</w:t>
      </w:r>
    </w:p>
    <w:p w14:paraId="52834AA2" w14:textId="77777777" w:rsidR="00891530" w:rsidRPr="00891530" w:rsidRDefault="00891530" w:rsidP="00E1521D">
      <w:pPr>
        <w:jc w:val="both"/>
      </w:pPr>
    </w:p>
    <w:p w14:paraId="11D2FC66" w14:textId="77777777" w:rsidR="00891530" w:rsidRPr="00891530" w:rsidRDefault="00891530" w:rsidP="00E1521D">
      <w:pPr>
        <w:jc w:val="both"/>
      </w:pPr>
    </w:p>
    <w:p w14:paraId="66299CD6" w14:textId="77777777" w:rsidR="00891530" w:rsidRPr="00891530" w:rsidRDefault="00891530" w:rsidP="00E1521D">
      <w:pPr>
        <w:jc w:val="both"/>
      </w:pPr>
      <w:r w:rsidRPr="00891530">
        <w:rPr>
          <w:b/>
          <w:bCs/>
        </w:rPr>
        <w:t xml:space="preserve">CONSULTA </w:t>
      </w:r>
      <w:proofErr w:type="spellStart"/>
      <w:proofErr w:type="gramStart"/>
      <w:r w:rsidRPr="00891530">
        <w:rPr>
          <w:b/>
          <w:bCs/>
        </w:rPr>
        <w:t>No.xx</w:t>
      </w:r>
      <w:proofErr w:type="spellEnd"/>
      <w:proofErr w:type="gramEnd"/>
      <w:r w:rsidRPr="00891530">
        <w:rPr>
          <w:b/>
          <w:bCs/>
        </w:rPr>
        <w:t>: Sobre Funcionalidades de Gestión de Crisis ('</w:t>
      </w:r>
      <w:proofErr w:type="spellStart"/>
      <w:r w:rsidRPr="00891530">
        <w:rPr>
          <w:b/>
          <w:bCs/>
        </w:rPr>
        <w:t>Last</w:t>
      </w:r>
      <w:proofErr w:type="spellEnd"/>
      <w:r w:rsidRPr="00891530">
        <w:rPr>
          <w:b/>
          <w:bCs/>
        </w:rPr>
        <w:t xml:space="preserve"> </w:t>
      </w:r>
      <w:proofErr w:type="spellStart"/>
      <w:r w:rsidRPr="00891530">
        <w:rPr>
          <w:b/>
          <w:bCs/>
        </w:rPr>
        <w:t>Gasp</w:t>
      </w:r>
      <w:proofErr w:type="spellEnd"/>
      <w:r w:rsidRPr="00891530">
        <w:rPr>
          <w:b/>
          <w:bCs/>
        </w:rPr>
        <w:t xml:space="preserve">'). </w:t>
      </w:r>
      <w:r w:rsidRPr="00891530">
        <w:t xml:space="preserve">"A fin de mejorar la resiliencia de la red de las EDEs, ¿confirmará la UEP si se valorará positivamente que el hardware de la luminaria posea la función </w:t>
      </w:r>
      <w:r w:rsidRPr="00891530">
        <w:rPr>
          <w:b/>
          <w:bCs/>
        </w:rPr>
        <w:t>'</w:t>
      </w:r>
      <w:proofErr w:type="spellStart"/>
      <w:r w:rsidRPr="00891530">
        <w:rPr>
          <w:b/>
          <w:bCs/>
        </w:rPr>
        <w:t>Last</w:t>
      </w:r>
      <w:proofErr w:type="spellEnd"/>
      <w:r w:rsidRPr="00891530">
        <w:rPr>
          <w:b/>
          <w:bCs/>
        </w:rPr>
        <w:t xml:space="preserve"> </w:t>
      </w:r>
      <w:proofErr w:type="spellStart"/>
      <w:r w:rsidRPr="00891530">
        <w:rPr>
          <w:b/>
          <w:bCs/>
        </w:rPr>
        <w:t>Gasp</w:t>
      </w:r>
      <w:proofErr w:type="spellEnd"/>
      <w:r w:rsidRPr="00891530">
        <w:rPr>
          <w:b/>
          <w:bCs/>
        </w:rPr>
        <w:t>' (último suspiro)</w:t>
      </w:r>
      <w:r w:rsidRPr="00891530">
        <w:t>? Esta capacidad permite que la unidad notifique fallas de energía en tiempo real, facilitando el mantenimiento preventivo sin necesidad de reportes manuales de los ciudadanos".</w:t>
      </w:r>
    </w:p>
    <w:p w14:paraId="1BA51943" w14:textId="77777777" w:rsidR="006F3D9F" w:rsidRDefault="006F3D9F" w:rsidP="00E1521D">
      <w:pPr>
        <w:jc w:val="both"/>
        <w:rPr>
          <w:b/>
          <w:bCs/>
        </w:rPr>
      </w:pPr>
    </w:p>
    <w:p w14:paraId="65729807" w14:textId="7AF81E08" w:rsidR="00891530" w:rsidRPr="00891530" w:rsidRDefault="00891530" w:rsidP="00E1521D">
      <w:pPr>
        <w:jc w:val="both"/>
        <w:rPr>
          <w:b/>
          <w:bCs/>
        </w:rPr>
      </w:pPr>
      <w:r w:rsidRPr="00891530">
        <w:rPr>
          <w:b/>
          <w:bCs/>
        </w:rPr>
        <w:t>Respuesta:</w:t>
      </w:r>
    </w:p>
    <w:p w14:paraId="3851E9C6" w14:textId="4B28E579" w:rsidR="00BA0EFC" w:rsidRPr="00C80BA5" w:rsidRDefault="00BA0EFC" w:rsidP="00BA0EFC">
      <w:pPr>
        <w:jc w:val="both"/>
        <w:rPr>
          <w:bCs/>
        </w:rPr>
      </w:pPr>
      <w:r>
        <w:rPr>
          <w:rFonts w:ascii="Cambria" w:hAnsi="Cambria"/>
          <w:color w:val="275317" w:themeColor="accent6" w:themeShade="80"/>
        </w:rPr>
        <w:t>Esta pregunta no pertenece a esta licitación. Esta funcionalidad es realizada por el nodo de comunicación.</w:t>
      </w:r>
    </w:p>
    <w:p w14:paraId="3B9A46D6" w14:textId="77777777" w:rsidR="00C80BA5" w:rsidRPr="00891530" w:rsidRDefault="00C80BA5" w:rsidP="00E1521D">
      <w:pPr>
        <w:jc w:val="both"/>
      </w:pPr>
    </w:p>
    <w:p w14:paraId="2D880D35" w14:textId="77777777" w:rsidR="00891530" w:rsidRPr="00891530" w:rsidRDefault="00891530" w:rsidP="00E1521D">
      <w:pPr>
        <w:jc w:val="both"/>
      </w:pPr>
    </w:p>
    <w:p w14:paraId="576F7ACD" w14:textId="77777777" w:rsidR="00891530" w:rsidRPr="00910AAC" w:rsidRDefault="00891530" w:rsidP="00E1521D">
      <w:pPr>
        <w:jc w:val="both"/>
      </w:pPr>
      <w:r w:rsidRPr="00910AAC">
        <w:rPr>
          <w:b/>
          <w:bCs/>
        </w:rPr>
        <w:t xml:space="preserve">CONSULTA </w:t>
      </w:r>
      <w:proofErr w:type="spellStart"/>
      <w:proofErr w:type="gramStart"/>
      <w:r w:rsidRPr="00910AAC">
        <w:rPr>
          <w:b/>
          <w:bCs/>
        </w:rPr>
        <w:t>No.XX</w:t>
      </w:r>
      <w:proofErr w:type="spellEnd"/>
      <w:proofErr w:type="gramEnd"/>
      <w:r w:rsidRPr="00910AAC">
        <w:rPr>
          <w:b/>
          <w:bCs/>
        </w:rPr>
        <w:t xml:space="preserve">: Sobre Geolocalización GNSS para Eficiencia de Inventario. </w:t>
      </w:r>
      <w:r w:rsidRPr="00910AAC">
        <w:t xml:space="preserve">Para reducir los errores en el levantamiento de activos y disminuir el OPEX operativo, ¿se exigirá o valorará que el hardware de control incluya receptores </w:t>
      </w:r>
      <w:r w:rsidRPr="00910AAC">
        <w:rPr>
          <w:b/>
          <w:bCs/>
        </w:rPr>
        <w:t>GNSS (GPS/GLONASS)</w:t>
      </w:r>
      <w:r w:rsidRPr="00910AAC">
        <w:t xml:space="preserve"> integrados para el </w:t>
      </w:r>
      <w:proofErr w:type="spellStart"/>
      <w:r w:rsidRPr="00910AAC">
        <w:t>autocomisionamiento</w:t>
      </w:r>
      <w:proofErr w:type="spellEnd"/>
      <w:r w:rsidRPr="00910AAC">
        <w:t xml:space="preserve"> y ubicación automática de cada luminaria en el mapa del CMS?".</w:t>
      </w:r>
    </w:p>
    <w:p w14:paraId="1272A383" w14:textId="77777777" w:rsidR="006F3D9F" w:rsidRDefault="006F3D9F" w:rsidP="00E1521D">
      <w:pPr>
        <w:jc w:val="both"/>
        <w:rPr>
          <w:b/>
          <w:bCs/>
        </w:rPr>
      </w:pPr>
    </w:p>
    <w:p w14:paraId="6AC6EE6D" w14:textId="27C6D8A9" w:rsidR="00891530" w:rsidRPr="00891530" w:rsidRDefault="00891530" w:rsidP="00E1521D">
      <w:pPr>
        <w:jc w:val="both"/>
        <w:rPr>
          <w:b/>
          <w:bCs/>
        </w:rPr>
      </w:pPr>
      <w:r w:rsidRPr="00910AAC">
        <w:rPr>
          <w:b/>
          <w:bCs/>
        </w:rPr>
        <w:t>Respuesta:</w:t>
      </w:r>
    </w:p>
    <w:p w14:paraId="6CB5B146" w14:textId="3B24967F" w:rsidR="00891530" w:rsidRPr="00891530" w:rsidRDefault="00910AAC" w:rsidP="00E1521D">
      <w:pPr>
        <w:jc w:val="both"/>
      </w:pPr>
      <w:r w:rsidRPr="00910AAC">
        <w:rPr>
          <w:rFonts w:ascii="Cambria" w:hAnsi="Cambria"/>
          <w:color w:val="275317" w:themeColor="accent6" w:themeShade="80"/>
        </w:rPr>
        <w:t xml:space="preserve">El sistema de control no es objeto de esta licitación. </w:t>
      </w:r>
    </w:p>
    <w:p w14:paraId="115EB701" w14:textId="77777777" w:rsidR="00891530" w:rsidRPr="00891530" w:rsidRDefault="00891530" w:rsidP="00E1521D">
      <w:pPr>
        <w:jc w:val="both"/>
      </w:pPr>
    </w:p>
    <w:p w14:paraId="799F5C7B" w14:textId="77777777" w:rsidR="00891530" w:rsidRPr="00891530" w:rsidRDefault="00891530" w:rsidP="00E1521D">
      <w:pPr>
        <w:jc w:val="both"/>
      </w:pPr>
      <w:r w:rsidRPr="00891530">
        <w:rPr>
          <w:b/>
          <w:bCs/>
        </w:rPr>
        <w:t xml:space="preserve">CONSULTA </w:t>
      </w:r>
      <w:proofErr w:type="spellStart"/>
      <w:proofErr w:type="gramStart"/>
      <w:r w:rsidRPr="00891530">
        <w:rPr>
          <w:b/>
          <w:bCs/>
        </w:rPr>
        <w:t>No.XX</w:t>
      </w:r>
      <w:proofErr w:type="spellEnd"/>
      <w:proofErr w:type="gramEnd"/>
      <w:r w:rsidRPr="00891530">
        <w:rPr>
          <w:b/>
          <w:bCs/>
        </w:rPr>
        <w:t xml:space="preserve">: Sobre la Acreditación de Experiencia en Nodos por el Fabricante. </w:t>
      </w:r>
      <w:r w:rsidRPr="00891530">
        <w:t xml:space="preserve">"En el caso de ofertas bajo la modalidad de Consorcio (APCA), ¿confirmará la UEP que la experiencia requerida en </w:t>
      </w:r>
      <w:r w:rsidRPr="00891530">
        <w:rPr>
          <w:b/>
          <w:bCs/>
        </w:rPr>
        <w:t>'</w:t>
      </w:r>
      <w:proofErr w:type="gramStart"/>
      <w:r w:rsidRPr="00891530">
        <w:rPr>
          <w:b/>
          <w:bCs/>
        </w:rPr>
        <w:t>Suministro e instalación de nodos' (Sección III)</w:t>
      </w:r>
      <w:r w:rsidRPr="00891530">
        <w:t xml:space="preserve"> podrá ser acreditada por el </w:t>
      </w:r>
      <w:r w:rsidRPr="00891530">
        <w:rPr>
          <w:b/>
          <w:bCs/>
        </w:rPr>
        <w:t>fabricante de la solución LED</w:t>
      </w:r>
      <w:r w:rsidRPr="00891530">
        <w:t xml:space="preserve"> (socio tecnológico), permitiendo que el contratista local se enfoque exclusivamente en la logística de instalación física y obra civil?</w:t>
      </w:r>
      <w:proofErr w:type="gramEnd"/>
      <w:r w:rsidRPr="00891530">
        <w:t>".</w:t>
      </w:r>
    </w:p>
    <w:p w14:paraId="01461181" w14:textId="77777777" w:rsidR="006F3D9F" w:rsidRDefault="006F3D9F" w:rsidP="00E1521D">
      <w:pPr>
        <w:jc w:val="both"/>
        <w:rPr>
          <w:b/>
          <w:bCs/>
        </w:rPr>
      </w:pPr>
    </w:p>
    <w:p w14:paraId="71ABC095" w14:textId="52F7A371" w:rsidR="00891530" w:rsidRPr="00891530" w:rsidRDefault="00891530" w:rsidP="00E1521D">
      <w:pPr>
        <w:jc w:val="both"/>
        <w:rPr>
          <w:b/>
          <w:bCs/>
        </w:rPr>
      </w:pPr>
      <w:r w:rsidRPr="00891530">
        <w:rPr>
          <w:b/>
          <w:bCs/>
        </w:rPr>
        <w:t>Respuesta:</w:t>
      </w:r>
    </w:p>
    <w:p w14:paraId="495696D4" w14:textId="77777777" w:rsidR="00910AAC" w:rsidRPr="00910AAC" w:rsidRDefault="00910AAC" w:rsidP="00E1521D">
      <w:pPr>
        <w:jc w:val="both"/>
        <w:rPr>
          <w:rFonts w:ascii="Cambria" w:hAnsi="Cambria"/>
          <w:color w:val="275317" w:themeColor="accent6" w:themeShade="80"/>
        </w:rPr>
      </w:pPr>
      <w:r w:rsidRPr="00910AAC">
        <w:rPr>
          <w:rFonts w:ascii="Cambria" w:hAnsi="Cambria"/>
          <w:color w:val="275317" w:themeColor="accent6" w:themeShade="80"/>
        </w:rPr>
        <w:t>Es necesario cumplir con lo establecido en los pliegos relativamente a la experiencia en proyecto de suministro e instalación de luminarias.</w:t>
      </w:r>
    </w:p>
    <w:p w14:paraId="1D74FF33" w14:textId="68CAD2DD" w:rsidR="006F3D9F" w:rsidRDefault="006F3D9F" w:rsidP="00E1521D">
      <w:pPr>
        <w:jc w:val="both"/>
      </w:pPr>
    </w:p>
    <w:p w14:paraId="480844E5" w14:textId="77777777" w:rsidR="004844FA" w:rsidRPr="00891530" w:rsidRDefault="004844FA" w:rsidP="00E1521D">
      <w:pPr>
        <w:jc w:val="both"/>
      </w:pPr>
    </w:p>
    <w:p w14:paraId="022ED090" w14:textId="7C6A038B" w:rsidR="00891530" w:rsidRPr="00891530" w:rsidRDefault="00891530" w:rsidP="00E1521D">
      <w:pPr>
        <w:jc w:val="both"/>
      </w:pPr>
      <w:r w:rsidRPr="00891530">
        <w:rPr>
          <w:b/>
          <w:bCs/>
        </w:rPr>
        <w:lastRenderedPageBreak/>
        <w:t xml:space="preserve">CONSULTA No. XX: Sobre la telemetría avanzada y gestión de mantenimiento de baterías. </w:t>
      </w:r>
      <w:r w:rsidRPr="00891530">
        <w:t xml:space="preserve">"Dado que el proceso actual (01) contempla ~20,600 luminarias híbridas cuya gestión manual es inabordable, y considerando que el futuro MEM-LPI-BID-02-2026 definirá la plataforma de control, ¿confirmará la UEP que las luminarias del MEM-LPI-BID-01-2026 deben integrar hardware capaz de reportar telemetría crítica del </w:t>
      </w:r>
      <w:r w:rsidR="00EE6FE0">
        <w:t>55</w:t>
      </w:r>
      <w:r w:rsidRPr="00891530">
        <w:t xml:space="preserve"> (</w:t>
      </w:r>
      <w:r w:rsidRPr="00891530">
        <w:rPr>
          <w:b/>
          <w:bCs/>
        </w:rPr>
        <w:t xml:space="preserve">Estado de Carga - </w:t>
      </w:r>
      <w:proofErr w:type="spellStart"/>
      <w:r w:rsidRPr="00891530">
        <w:rPr>
          <w:b/>
          <w:bCs/>
        </w:rPr>
        <w:t>SoC</w:t>
      </w:r>
      <w:proofErr w:type="spellEnd"/>
      <w:r w:rsidRPr="00891530">
        <w:rPr>
          <w:b/>
          <w:bCs/>
        </w:rPr>
        <w:t xml:space="preserve">, </w:t>
      </w:r>
      <w:proofErr w:type="gramStart"/>
      <w:r w:rsidRPr="00891530">
        <w:rPr>
          <w:b/>
          <w:bCs/>
        </w:rPr>
        <w:t>Estado de Salud - SoH, Temperatura de celdas y Contador de Ciclos</w:t>
      </w:r>
      <w:r w:rsidRPr="00891530">
        <w:t>)?</w:t>
      </w:r>
      <w:proofErr w:type="gramEnd"/>
      <w:r w:rsidRPr="00891530">
        <w:t xml:space="preserve"> Esto es vital para ejecutar los </w:t>
      </w:r>
      <w:r w:rsidRPr="00891530">
        <w:rPr>
          <w:b/>
          <w:bCs/>
        </w:rPr>
        <w:t>ciclos de descarga controlada obligatorios (cada 6 meses)</w:t>
      </w:r>
      <w:r w:rsidRPr="00891530">
        <w:t xml:space="preserve"> necesarios para recalibrar el BMS y evitar el envejecimiento químico por inactividad, funcionalidad que debe ser programable de forma remota para garantizar los 8–10 años de vida útil proyectados."</w:t>
      </w:r>
    </w:p>
    <w:p w14:paraId="632F65F4" w14:textId="77777777" w:rsidR="004844FA" w:rsidRDefault="004844FA" w:rsidP="00E1521D">
      <w:pPr>
        <w:jc w:val="both"/>
        <w:rPr>
          <w:b/>
          <w:bCs/>
        </w:rPr>
      </w:pPr>
    </w:p>
    <w:p w14:paraId="5903C2BB" w14:textId="0047F284" w:rsidR="00891530" w:rsidRDefault="00891530" w:rsidP="00E1521D">
      <w:pPr>
        <w:jc w:val="both"/>
        <w:rPr>
          <w:b/>
          <w:bCs/>
        </w:rPr>
      </w:pPr>
      <w:r w:rsidRPr="00891530">
        <w:rPr>
          <w:b/>
          <w:bCs/>
        </w:rPr>
        <w:t>Respuesta:</w:t>
      </w:r>
    </w:p>
    <w:p w14:paraId="7928DD63" w14:textId="10260A39" w:rsidR="00910AAC" w:rsidRDefault="00910AAC" w:rsidP="00E1521D">
      <w:pPr>
        <w:jc w:val="both"/>
        <w:rPr>
          <w:b/>
          <w:bCs/>
        </w:rPr>
      </w:pPr>
      <w:r>
        <w:rPr>
          <w:rFonts w:ascii="Cambria" w:hAnsi="Cambria"/>
          <w:color w:val="275317" w:themeColor="accent6" w:themeShade="80"/>
        </w:rPr>
        <w:t xml:space="preserve">Sí, estas características </w:t>
      </w:r>
      <w:r w:rsidRPr="00910AAC">
        <w:rPr>
          <w:rFonts w:ascii="Cambria" w:hAnsi="Cambria"/>
          <w:color w:val="275317" w:themeColor="accent6" w:themeShade="80"/>
        </w:rPr>
        <w:t xml:space="preserve">Estado de Carga - </w:t>
      </w:r>
      <w:proofErr w:type="spellStart"/>
      <w:r w:rsidRPr="00910AAC">
        <w:rPr>
          <w:rFonts w:ascii="Cambria" w:hAnsi="Cambria"/>
          <w:color w:val="275317" w:themeColor="accent6" w:themeShade="80"/>
        </w:rPr>
        <w:t>SoC</w:t>
      </w:r>
      <w:proofErr w:type="spellEnd"/>
      <w:r w:rsidRPr="00910AAC">
        <w:rPr>
          <w:rFonts w:ascii="Cambria" w:hAnsi="Cambria"/>
          <w:color w:val="275317" w:themeColor="accent6" w:themeShade="80"/>
        </w:rPr>
        <w:t>, Estado de Salud - SoH, Temperatura de celdas y Contador de Ciclos</w:t>
      </w:r>
      <w:r>
        <w:rPr>
          <w:rFonts w:ascii="Cambria" w:hAnsi="Cambria"/>
          <w:color w:val="275317" w:themeColor="accent6" w:themeShade="80"/>
        </w:rPr>
        <w:t xml:space="preserve"> deberán ser monitorizadas a través del BMS.</w:t>
      </w:r>
    </w:p>
    <w:p w14:paraId="42BA22D2" w14:textId="77777777" w:rsidR="00910AAC" w:rsidRPr="00891530" w:rsidRDefault="00910AAC" w:rsidP="00E1521D">
      <w:pPr>
        <w:jc w:val="both"/>
        <w:rPr>
          <w:b/>
          <w:bCs/>
        </w:rPr>
      </w:pPr>
    </w:p>
    <w:p w14:paraId="00527667" w14:textId="77777777" w:rsidR="00891530" w:rsidRPr="00891530" w:rsidRDefault="00891530" w:rsidP="00E1521D">
      <w:pPr>
        <w:jc w:val="both"/>
      </w:pPr>
      <w:r w:rsidRPr="00891530">
        <w:rPr>
          <w:b/>
          <w:bCs/>
        </w:rPr>
        <w:t xml:space="preserve">CONSULTA </w:t>
      </w:r>
      <w:proofErr w:type="spellStart"/>
      <w:proofErr w:type="gramStart"/>
      <w:r w:rsidRPr="00891530">
        <w:rPr>
          <w:b/>
          <w:bCs/>
        </w:rPr>
        <w:t>No.xx</w:t>
      </w:r>
      <w:proofErr w:type="spellEnd"/>
      <w:proofErr w:type="gramEnd"/>
      <w:r w:rsidRPr="00891530">
        <w:rPr>
          <w:b/>
          <w:bCs/>
        </w:rPr>
        <w:t xml:space="preserve">: Sobre la superioridad de </w:t>
      </w:r>
      <w:proofErr w:type="spellStart"/>
      <w:r w:rsidRPr="00891530">
        <w:rPr>
          <w:b/>
          <w:bCs/>
        </w:rPr>
        <w:t>IoT</w:t>
      </w:r>
      <w:proofErr w:type="spellEnd"/>
      <w:r w:rsidRPr="00891530">
        <w:rPr>
          <w:b/>
          <w:bCs/>
        </w:rPr>
        <w:t xml:space="preserve"> Celular frente a Radiofrecuencia en sistemas con batería. </w:t>
      </w:r>
      <w:r w:rsidRPr="00891530">
        <w:t xml:space="preserve">"Considerando que las luminarias híbridas deben operar precisamente durante fallos de red, ¿se valorará positivamente en la evaluación de la Memoria Técnica el uso de arquitectura </w:t>
      </w:r>
      <w:proofErr w:type="spellStart"/>
      <w:r w:rsidRPr="00891530">
        <w:rPr>
          <w:b/>
          <w:bCs/>
        </w:rPr>
        <w:t>IoT</w:t>
      </w:r>
      <w:proofErr w:type="spellEnd"/>
      <w:r w:rsidRPr="00891530">
        <w:rPr>
          <w:b/>
          <w:bCs/>
        </w:rPr>
        <w:t xml:space="preserve"> Celular (NB-</w:t>
      </w:r>
      <w:proofErr w:type="spellStart"/>
      <w:r w:rsidRPr="00891530">
        <w:rPr>
          <w:b/>
          <w:bCs/>
        </w:rPr>
        <w:t>IoT</w:t>
      </w:r>
      <w:proofErr w:type="spellEnd"/>
      <w:r w:rsidRPr="00891530">
        <w:rPr>
          <w:b/>
          <w:bCs/>
        </w:rPr>
        <w:t>/LTE-M)</w:t>
      </w:r>
      <w:r w:rsidRPr="00891530">
        <w:t xml:space="preserve">? A diferencia de </w:t>
      </w:r>
      <w:proofErr w:type="spellStart"/>
      <w:r w:rsidRPr="00891530">
        <w:t>LoRaWAN</w:t>
      </w:r>
      <w:proofErr w:type="spellEnd"/>
      <w:r w:rsidRPr="00891530">
        <w:t>/</w:t>
      </w:r>
      <w:proofErr w:type="spellStart"/>
      <w:r w:rsidRPr="00891530">
        <w:t>Zigbee</w:t>
      </w:r>
      <w:proofErr w:type="spellEnd"/>
      <w:r w:rsidRPr="00891530">
        <w:t xml:space="preserve">, que dependen de </w:t>
      </w:r>
      <w:proofErr w:type="spellStart"/>
      <w:r w:rsidRPr="00891530">
        <w:t>gateways</w:t>
      </w:r>
      <w:proofErr w:type="spellEnd"/>
      <w:r w:rsidRPr="00891530">
        <w:t xml:space="preserve"> (puntos únicos de falla vulnerables a vandalismo y descargas), el </w:t>
      </w:r>
      <w:proofErr w:type="spellStart"/>
      <w:r w:rsidRPr="00891530">
        <w:t>IoT</w:t>
      </w:r>
      <w:proofErr w:type="spellEnd"/>
      <w:r w:rsidRPr="00891530">
        <w:t xml:space="preserve"> celular permite comunicación directa punto a punto, asegurando el reporte de alarmas de batería y la función </w:t>
      </w:r>
      <w:r w:rsidRPr="00891530">
        <w:rPr>
          <w:b/>
          <w:bCs/>
        </w:rPr>
        <w:t>'</w:t>
      </w:r>
      <w:proofErr w:type="spellStart"/>
      <w:r w:rsidRPr="00891530">
        <w:rPr>
          <w:b/>
          <w:bCs/>
        </w:rPr>
        <w:t>Last</w:t>
      </w:r>
      <w:proofErr w:type="spellEnd"/>
      <w:r w:rsidRPr="00891530">
        <w:rPr>
          <w:b/>
          <w:bCs/>
        </w:rPr>
        <w:t xml:space="preserve"> </w:t>
      </w:r>
      <w:proofErr w:type="spellStart"/>
      <w:r w:rsidRPr="00891530">
        <w:rPr>
          <w:b/>
          <w:bCs/>
        </w:rPr>
        <w:t>Gasp</w:t>
      </w:r>
      <w:proofErr w:type="spellEnd"/>
      <w:r w:rsidRPr="00891530">
        <w:rPr>
          <w:b/>
          <w:bCs/>
        </w:rPr>
        <w:t>'</w:t>
      </w:r>
      <w:r w:rsidRPr="00891530">
        <w:t xml:space="preserve"> incluso si la infraestructura de red local colapsa."</w:t>
      </w:r>
    </w:p>
    <w:p w14:paraId="7694F833" w14:textId="77777777" w:rsidR="00891530" w:rsidRPr="00891530" w:rsidRDefault="00891530" w:rsidP="00E1521D">
      <w:pPr>
        <w:jc w:val="both"/>
        <w:rPr>
          <w:b/>
          <w:bCs/>
        </w:rPr>
      </w:pPr>
      <w:r w:rsidRPr="00891530">
        <w:rPr>
          <w:b/>
          <w:bCs/>
        </w:rPr>
        <w:t>Respuesta:</w:t>
      </w:r>
    </w:p>
    <w:p w14:paraId="4C02B1DE" w14:textId="2C671DBB" w:rsidR="00891530" w:rsidRPr="004844FA" w:rsidRDefault="00706BF0" w:rsidP="00E1521D">
      <w:pPr>
        <w:jc w:val="both"/>
        <w:rPr>
          <w:rFonts w:ascii="Cambria" w:hAnsi="Cambria"/>
          <w:color w:val="275317" w:themeColor="accent6" w:themeShade="80"/>
        </w:rPr>
      </w:pPr>
      <w:r>
        <w:rPr>
          <w:rFonts w:ascii="Cambria" w:hAnsi="Cambria"/>
          <w:color w:val="275317" w:themeColor="accent6" w:themeShade="80"/>
        </w:rPr>
        <w:t>El telecontrol no es objeto de esta licitación.</w:t>
      </w:r>
    </w:p>
    <w:p w14:paraId="1E6E64BF" w14:textId="77777777" w:rsidR="00891530" w:rsidRPr="00891530" w:rsidRDefault="00891530" w:rsidP="00E1521D">
      <w:pPr>
        <w:jc w:val="both"/>
      </w:pPr>
    </w:p>
    <w:p w14:paraId="0C1BB7BA" w14:textId="77777777" w:rsidR="00891530" w:rsidRPr="00891530" w:rsidRDefault="00891530" w:rsidP="00E1521D">
      <w:pPr>
        <w:jc w:val="both"/>
      </w:pPr>
      <w:r w:rsidRPr="00891530">
        <w:rPr>
          <w:b/>
          <w:bCs/>
        </w:rPr>
        <w:t xml:space="preserve">CONSULTA </w:t>
      </w:r>
      <w:proofErr w:type="spellStart"/>
      <w:proofErr w:type="gramStart"/>
      <w:r w:rsidRPr="00891530">
        <w:rPr>
          <w:b/>
          <w:bCs/>
        </w:rPr>
        <w:t>No.xx</w:t>
      </w:r>
      <w:proofErr w:type="spellEnd"/>
      <w:proofErr w:type="gramEnd"/>
      <w:r w:rsidRPr="00891530">
        <w:rPr>
          <w:b/>
          <w:bCs/>
        </w:rPr>
        <w:t xml:space="preserve">: Sobre la vulnerabilidad por voltaje nominal y </w:t>
      </w:r>
      <w:proofErr w:type="spellStart"/>
      <w:r w:rsidRPr="00891530">
        <w:rPr>
          <w:b/>
          <w:bCs/>
        </w:rPr>
        <w:t>desestimulación</w:t>
      </w:r>
      <w:proofErr w:type="spellEnd"/>
      <w:r w:rsidRPr="00891530">
        <w:rPr>
          <w:b/>
          <w:bCs/>
        </w:rPr>
        <w:t xml:space="preserve"> del robo. </w:t>
      </w:r>
      <w:r w:rsidRPr="00891530">
        <w:t xml:space="preserve">"El requerimiento actual de </w:t>
      </w:r>
      <w:r w:rsidRPr="00891530">
        <w:rPr>
          <w:b/>
          <w:bCs/>
        </w:rPr>
        <w:t>12.8V</w:t>
      </w:r>
      <w:r w:rsidRPr="00891530">
        <w:t xml:space="preserve"> incentiva el robo sistemático al ser un voltaje estándar de uso doméstico (inversores) y automotriz en el país. </w:t>
      </w:r>
      <w:proofErr w:type="gramStart"/>
      <w:r w:rsidRPr="00891530">
        <w:t xml:space="preserve">¿Aceptará el Contratante arquitecturas de almacenamiento basadas en </w:t>
      </w:r>
      <w:r w:rsidRPr="00891530">
        <w:rPr>
          <w:b/>
          <w:bCs/>
        </w:rPr>
        <w:t>3.</w:t>
      </w:r>
      <w:proofErr w:type="gramEnd"/>
      <w:r w:rsidRPr="00891530">
        <w:rPr>
          <w:b/>
          <w:bCs/>
        </w:rPr>
        <w:t>2V (celda única de alta capacidad)</w:t>
      </w:r>
      <w:r w:rsidRPr="00891530">
        <w:t>? Esta configuración, además de mitigar el incentivo al hurto, elimina la complejidad de circuitos serie-paralelo de las baterías de 12.8V, reduciendo los puntos críticos de falla y mejorando la confiabilidad del sistema según los estándares de eficiencia del BID."</w:t>
      </w:r>
    </w:p>
    <w:p w14:paraId="28403F57" w14:textId="77777777" w:rsidR="004844FA" w:rsidRDefault="004844FA" w:rsidP="00E1521D">
      <w:pPr>
        <w:jc w:val="both"/>
        <w:rPr>
          <w:b/>
          <w:bCs/>
        </w:rPr>
      </w:pPr>
    </w:p>
    <w:p w14:paraId="1E6400DC" w14:textId="0AEC59DE" w:rsidR="00891530" w:rsidRPr="00891530" w:rsidRDefault="00891530" w:rsidP="00E1521D">
      <w:pPr>
        <w:jc w:val="both"/>
        <w:rPr>
          <w:b/>
          <w:bCs/>
        </w:rPr>
      </w:pPr>
      <w:r w:rsidRPr="00891530">
        <w:rPr>
          <w:b/>
          <w:bCs/>
        </w:rPr>
        <w:t>Respuesta:</w:t>
      </w:r>
    </w:p>
    <w:p w14:paraId="2164DEDA" w14:textId="25BB28E8" w:rsidR="00910AAC" w:rsidRPr="00910AAC" w:rsidRDefault="00910AAC" w:rsidP="00E1521D">
      <w:pPr>
        <w:jc w:val="both"/>
        <w:rPr>
          <w:rFonts w:ascii="Cambria" w:hAnsi="Cambria"/>
          <w:color w:val="275317" w:themeColor="accent6" w:themeShade="80"/>
        </w:rPr>
      </w:pPr>
      <w:r w:rsidRPr="00910AAC">
        <w:rPr>
          <w:rFonts w:ascii="Cambria" w:hAnsi="Cambria"/>
          <w:color w:val="275317" w:themeColor="accent6" w:themeShade="80"/>
        </w:rPr>
        <w:t>No se considera ninguna configuración de voltaje particular para reducir el riesgo de robos</w:t>
      </w:r>
      <w:r>
        <w:rPr>
          <w:rFonts w:ascii="Cambria" w:hAnsi="Cambria"/>
          <w:color w:val="275317" w:themeColor="accent6" w:themeShade="80"/>
        </w:rPr>
        <w:t xml:space="preserve">. </w:t>
      </w:r>
      <w:r w:rsidR="00353B1E">
        <w:rPr>
          <w:rFonts w:ascii="Cambria" w:hAnsi="Cambria"/>
          <w:color w:val="275317" w:themeColor="accent6" w:themeShade="80"/>
        </w:rPr>
        <w:t>La capacidad de las baterías solicitadas no incentiva el robo de las mismas ya que no son de gran capacidad</w:t>
      </w:r>
      <w:r w:rsidR="00150B9C">
        <w:rPr>
          <w:rFonts w:ascii="Cambria" w:hAnsi="Cambria"/>
          <w:color w:val="275317" w:themeColor="accent6" w:themeShade="80"/>
        </w:rPr>
        <w:t xml:space="preserve"> y además no se trata de baterías externas, debiendo desmontar la luminaria o llevarse </w:t>
      </w:r>
      <w:proofErr w:type="spellStart"/>
      <w:r w:rsidR="00150B9C">
        <w:rPr>
          <w:rFonts w:ascii="Cambria" w:hAnsi="Cambria"/>
          <w:color w:val="275317" w:themeColor="accent6" w:themeShade="80"/>
        </w:rPr>
        <w:t>esta</w:t>
      </w:r>
      <w:proofErr w:type="spellEnd"/>
      <w:r w:rsidR="00150B9C">
        <w:rPr>
          <w:rFonts w:ascii="Cambria" w:hAnsi="Cambria"/>
          <w:color w:val="275317" w:themeColor="accent6" w:themeShade="80"/>
        </w:rPr>
        <w:t xml:space="preserve"> completamente.</w:t>
      </w:r>
    </w:p>
    <w:p w14:paraId="68CEFB07" w14:textId="0E3617EB" w:rsidR="00910AAC" w:rsidRPr="00891530" w:rsidRDefault="00910AAC" w:rsidP="00E1521D">
      <w:pPr>
        <w:jc w:val="both"/>
      </w:pPr>
      <w:r>
        <w:rPr>
          <w:rFonts w:ascii="Cambria" w:hAnsi="Cambria"/>
          <w:color w:val="275317" w:themeColor="accent6" w:themeShade="80"/>
        </w:rPr>
        <w:t xml:space="preserve"> </w:t>
      </w:r>
    </w:p>
    <w:p w14:paraId="774DA389" w14:textId="77777777" w:rsidR="00891530" w:rsidRPr="00891530" w:rsidRDefault="00891530" w:rsidP="00E1521D">
      <w:pPr>
        <w:jc w:val="both"/>
      </w:pPr>
      <w:r w:rsidRPr="00891530">
        <w:rPr>
          <w:b/>
          <w:bCs/>
        </w:rPr>
        <w:t xml:space="preserve">CONSULTA </w:t>
      </w:r>
      <w:proofErr w:type="spellStart"/>
      <w:proofErr w:type="gramStart"/>
      <w:r w:rsidRPr="00891530">
        <w:rPr>
          <w:b/>
          <w:bCs/>
        </w:rPr>
        <w:t>No.xx</w:t>
      </w:r>
      <w:proofErr w:type="spellEnd"/>
      <w:proofErr w:type="gramEnd"/>
      <w:r w:rsidRPr="00891530">
        <w:rPr>
          <w:b/>
          <w:bCs/>
        </w:rPr>
        <w:t xml:space="preserve">: Sobre la química LiFePO4 y la precisión del BMS. </w:t>
      </w:r>
      <w:r w:rsidRPr="00891530">
        <w:t xml:space="preserve">"Para asegurar la sostenibilidad financiera (TCO), ¿especificará la UEP que la química de almacenamiento debe ser estrictamente </w:t>
      </w:r>
      <w:r w:rsidRPr="00891530">
        <w:rPr>
          <w:b/>
          <w:bCs/>
        </w:rPr>
        <w:t>Litio Ferro-</w:t>
      </w:r>
      <w:proofErr w:type="gramStart"/>
      <w:r w:rsidRPr="00891530">
        <w:rPr>
          <w:b/>
          <w:bCs/>
        </w:rPr>
        <w:t>Fosfato (LiFePO4)</w:t>
      </w:r>
      <w:r w:rsidRPr="00891530">
        <w:t>, descartando químicas inestables como NMC?</w:t>
      </w:r>
      <w:proofErr w:type="gramEnd"/>
      <w:r w:rsidRPr="00891530">
        <w:t xml:space="preserve"> Asimismo, ¿se exigirá que el BMS integre algoritmos de </w:t>
      </w:r>
      <w:r w:rsidRPr="00891530">
        <w:rPr>
          <w:b/>
          <w:bCs/>
        </w:rPr>
        <w:t xml:space="preserve">Coulomb </w:t>
      </w:r>
      <w:proofErr w:type="spellStart"/>
      <w:r w:rsidRPr="00891530">
        <w:rPr>
          <w:b/>
          <w:bCs/>
        </w:rPr>
        <w:t>Counting</w:t>
      </w:r>
      <w:proofErr w:type="spellEnd"/>
      <w:r w:rsidRPr="00891530">
        <w:t>? Dado que la curva de descarga de LiFePO4 es extremadamente plana, la medición por voltaje solicitada es técnicamente imprecisa para el reporte de telemetría exigido por la SIE."</w:t>
      </w:r>
    </w:p>
    <w:p w14:paraId="5BC6C4D8" w14:textId="77777777" w:rsidR="004844FA" w:rsidRDefault="004844FA" w:rsidP="00E1521D">
      <w:pPr>
        <w:jc w:val="both"/>
        <w:rPr>
          <w:b/>
          <w:bCs/>
        </w:rPr>
      </w:pPr>
    </w:p>
    <w:p w14:paraId="3BBF172E" w14:textId="77777777" w:rsidR="004844FA" w:rsidRDefault="004844FA" w:rsidP="00E1521D">
      <w:pPr>
        <w:jc w:val="both"/>
        <w:rPr>
          <w:b/>
          <w:bCs/>
        </w:rPr>
      </w:pPr>
    </w:p>
    <w:p w14:paraId="7887BE38" w14:textId="737A73F3" w:rsidR="00891530" w:rsidRPr="00891530" w:rsidRDefault="00891530" w:rsidP="00E1521D">
      <w:pPr>
        <w:jc w:val="both"/>
        <w:rPr>
          <w:b/>
          <w:bCs/>
        </w:rPr>
      </w:pPr>
      <w:r w:rsidRPr="00891530">
        <w:rPr>
          <w:b/>
          <w:bCs/>
        </w:rPr>
        <w:lastRenderedPageBreak/>
        <w:t>Respuesta:</w:t>
      </w:r>
    </w:p>
    <w:p w14:paraId="0A996980" w14:textId="7575AFDA" w:rsidR="00891530" w:rsidRDefault="00910AAC" w:rsidP="00E1521D">
      <w:pPr>
        <w:jc w:val="both"/>
        <w:rPr>
          <w:rFonts w:ascii="Cambria" w:hAnsi="Cambria"/>
          <w:color w:val="275317" w:themeColor="accent6" w:themeShade="80"/>
        </w:rPr>
      </w:pPr>
      <w:r w:rsidRPr="00C80BA5">
        <w:rPr>
          <w:rFonts w:ascii="Cambria" w:hAnsi="Cambria"/>
          <w:color w:val="275317" w:themeColor="accent6" w:themeShade="80"/>
        </w:rPr>
        <w:t>Se deberá cumplir como mínimo con los requerimientos establecidos en el pliego</w:t>
      </w:r>
      <w:r>
        <w:rPr>
          <w:rFonts w:ascii="Cambria" w:hAnsi="Cambria"/>
          <w:color w:val="275317" w:themeColor="accent6" w:themeShade="80"/>
        </w:rPr>
        <w:t>.</w:t>
      </w:r>
    </w:p>
    <w:p w14:paraId="436E7C92" w14:textId="77777777" w:rsidR="00910AAC" w:rsidRPr="00891530" w:rsidRDefault="00910AAC" w:rsidP="00E1521D">
      <w:pPr>
        <w:jc w:val="both"/>
      </w:pPr>
    </w:p>
    <w:p w14:paraId="3A71106B" w14:textId="77777777" w:rsidR="00891530" w:rsidRPr="00891530" w:rsidRDefault="00891530" w:rsidP="00E1521D">
      <w:pPr>
        <w:jc w:val="both"/>
      </w:pPr>
      <w:r w:rsidRPr="00891530">
        <w:rPr>
          <w:b/>
          <w:bCs/>
        </w:rPr>
        <w:t xml:space="preserve">CONSULTA </w:t>
      </w:r>
      <w:proofErr w:type="spellStart"/>
      <w:proofErr w:type="gramStart"/>
      <w:r w:rsidRPr="00891530">
        <w:rPr>
          <w:b/>
          <w:bCs/>
        </w:rPr>
        <w:t>No.xx</w:t>
      </w:r>
      <w:proofErr w:type="spellEnd"/>
      <w:proofErr w:type="gramEnd"/>
      <w:r w:rsidRPr="00891530">
        <w:rPr>
          <w:b/>
          <w:bCs/>
        </w:rPr>
        <w:t xml:space="preserve">: Sobre el desempeño fotométrico en Modo Descarga (Modo Batería). </w:t>
      </w:r>
      <w:r w:rsidRPr="00891530">
        <w:t xml:space="preserve">"Las PDTG exigen reportes </w:t>
      </w:r>
      <w:r w:rsidRPr="00891530">
        <w:rPr>
          <w:b/>
          <w:bCs/>
        </w:rPr>
        <w:t>IES LM-79</w:t>
      </w:r>
      <w:r w:rsidRPr="00891530">
        <w:t xml:space="preserve">. ¿Confirmará la UEP que para las luminarias híbridas se debe incluir el reporte de desempeño fotométrico en </w:t>
      </w:r>
      <w:r w:rsidRPr="00891530">
        <w:rPr>
          <w:b/>
          <w:bCs/>
        </w:rPr>
        <w:t>modo descarga (batería)</w:t>
      </w:r>
      <w:r w:rsidRPr="00891530">
        <w:t xml:space="preserve">? Esto es indispensable para verificar que la eficacia ofrecida (≥150 lm/W) y los niveles de iluminación se mantienen según la norma </w:t>
      </w:r>
      <w:r w:rsidRPr="00891530">
        <w:rPr>
          <w:b/>
          <w:bCs/>
        </w:rPr>
        <w:t>IEC 60598-2-22</w:t>
      </w:r>
      <w:r w:rsidRPr="00891530">
        <w:t xml:space="preserve"> durante la autonomía de la batería, garantizando el ahorro energético real."</w:t>
      </w:r>
    </w:p>
    <w:p w14:paraId="05B405D4" w14:textId="77777777" w:rsidR="004844FA" w:rsidRDefault="004844FA" w:rsidP="00E1521D">
      <w:pPr>
        <w:jc w:val="both"/>
        <w:rPr>
          <w:b/>
          <w:bCs/>
        </w:rPr>
      </w:pPr>
    </w:p>
    <w:p w14:paraId="1E8FA633" w14:textId="2CE91AC0" w:rsidR="00891530" w:rsidRDefault="00891530" w:rsidP="00E1521D">
      <w:pPr>
        <w:jc w:val="both"/>
        <w:rPr>
          <w:b/>
          <w:bCs/>
        </w:rPr>
      </w:pPr>
      <w:r w:rsidRPr="00891530">
        <w:rPr>
          <w:b/>
          <w:bCs/>
        </w:rPr>
        <w:t>Respuesta:</w:t>
      </w:r>
    </w:p>
    <w:p w14:paraId="18E88C9D" w14:textId="44930C47" w:rsidR="00910AAC" w:rsidRDefault="008B3086" w:rsidP="00E1521D">
      <w:pPr>
        <w:jc w:val="both"/>
        <w:rPr>
          <w:b/>
          <w:bCs/>
        </w:rPr>
      </w:pPr>
      <w:r w:rsidRPr="00C80BA5">
        <w:rPr>
          <w:rFonts w:ascii="Cambria" w:hAnsi="Cambria"/>
          <w:color w:val="275317" w:themeColor="accent6" w:themeShade="80"/>
        </w:rPr>
        <w:t>S</w:t>
      </w:r>
      <w:r>
        <w:rPr>
          <w:rFonts w:ascii="Cambria" w:hAnsi="Cambria"/>
          <w:color w:val="275317" w:themeColor="accent6" w:themeShade="80"/>
        </w:rPr>
        <w:t>í, deberá incluir dicho reporte.</w:t>
      </w:r>
    </w:p>
    <w:p w14:paraId="0D5848EA" w14:textId="77777777" w:rsidR="00910AAC" w:rsidRPr="00891530" w:rsidRDefault="00910AAC" w:rsidP="00E1521D">
      <w:pPr>
        <w:jc w:val="both"/>
        <w:rPr>
          <w:b/>
          <w:bCs/>
        </w:rPr>
      </w:pPr>
    </w:p>
    <w:p w14:paraId="07E7B764" w14:textId="77777777" w:rsidR="00891530" w:rsidRPr="004844FA" w:rsidRDefault="00891530" w:rsidP="00E1521D">
      <w:pPr>
        <w:jc w:val="both"/>
      </w:pPr>
      <w:r w:rsidRPr="004844FA">
        <w:rPr>
          <w:b/>
          <w:bCs/>
        </w:rPr>
        <w:t xml:space="preserve">CONSULTA </w:t>
      </w:r>
      <w:proofErr w:type="spellStart"/>
      <w:proofErr w:type="gramStart"/>
      <w:r w:rsidRPr="004844FA">
        <w:rPr>
          <w:b/>
          <w:bCs/>
        </w:rPr>
        <w:t>No.xx</w:t>
      </w:r>
      <w:proofErr w:type="spellEnd"/>
      <w:proofErr w:type="gramEnd"/>
      <w:r w:rsidRPr="004844FA">
        <w:rPr>
          <w:b/>
          <w:bCs/>
        </w:rPr>
        <w:t xml:space="preserve">: Sobre la exención de ensayos destructivos e incompatibles para ESS. </w:t>
      </w:r>
      <w:r w:rsidRPr="004844FA">
        <w:t>"A fin de proteger la integridad del hardware híbrido, ¿confirmará la UEP la exención o ajuste de los siguientes ensayos en el compartimento ESS?:</w:t>
      </w:r>
    </w:p>
    <w:p w14:paraId="5F732808" w14:textId="77777777" w:rsidR="00891530" w:rsidRPr="004844FA" w:rsidRDefault="00891530" w:rsidP="00E1521D">
      <w:pPr>
        <w:numPr>
          <w:ilvl w:val="0"/>
          <w:numId w:val="24"/>
        </w:numPr>
        <w:jc w:val="both"/>
      </w:pPr>
      <w:r w:rsidRPr="004844FA">
        <w:rPr>
          <w:b/>
          <w:bCs/>
        </w:rPr>
        <w:t>Rigidez Dieléctrica (Hi-</w:t>
      </w:r>
      <w:proofErr w:type="spellStart"/>
      <w:r w:rsidRPr="004844FA">
        <w:rPr>
          <w:b/>
          <w:bCs/>
        </w:rPr>
        <w:t>pot</w:t>
      </w:r>
      <w:proofErr w:type="spellEnd"/>
      <w:r w:rsidRPr="004844FA">
        <w:rPr>
          <w:b/>
          <w:bCs/>
        </w:rPr>
        <w:t>):</w:t>
      </w:r>
      <w:r w:rsidRPr="004844FA">
        <w:t xml:space="preserve"> Debe realizarse exclusivamente sobre circuitos AC, eximiendo los bornes DC de la batería para evitar la perforación del aislamiento de los semiconductores del BMS. </w:t>
      </w:r>
    </w:p>
    <w:p w14:paraId="5FD3974B" w14:textId="77777777" w:rsidR="00891530" w:rsidRPr="004844FA" w:rsidRDefault="00891530" w:rsidP="00E1521D">
      <w:pPr>
        <w:numPr>
          <w:ilvl w:val="0"/>
          <w:numId w:val="24"/>
        </w:numPr>
        <w:jc w:val="both"/>
      </w:pPr>
      <w:r w:rsidRPr="004844FA">
        <w:rPr>
          <w:b/>
          <w:bCs/>
        </w:rPr>
        <w:t>Inmunidad a Sobretensiones (ANSI C136.2):</w:t>
      </w:r>
      <w:r w:rsidRPr="004844FA">
        <w:t xml:space="preserve"> Debe aplicar solo al driver AC de entrada; el ESS debe validarse bajo seguridad de celdas </w:t>
      </w:r>
      <w:r w:rsidRPr="004844FA">
        <w:rPr>
          <w:b/>
          <w:bCs/>
        </w:rPr>
        <w:t>IEC 62133</w:t>
      </w:r>
      <w:r w:rsidRPr="004844FA">
        <w:t xml:space="preserve">. </w:t>
      </w:r>
    </w:p>
    <w:p w14:paraId="535FF0A9" w14:textId="77777777" w:rsidR="00891530" w:rsidRPr="004844FA" w:rsidRDefault="00891530" w:rsidP="00E1521D">
      <w:pPr>
        <w:numPr>
          <w:ilvl w:val="0"/>
          <w:numId w:val="24"/>
        </w:numPr>
        <w:jc w:val="both"/>
      </w:pPr>
      <w:r w:rsidRPr="004844FA">
        <w:rPr>
          <w:b/>
          <w:bCs/>
        </w:rPr>
        <w:t>Vibración 3G (ANSI C136.31):</w:t>
      </w:r>
      <w:r w:rsidRPr="004844FA">
        <w:t xml:space="preserve"> Debe limitarse al cabezal de la luminaria, aceptando para el ESS la certificación </w:t>
      </w:r>
      <w:r w:rsidRPr="004844FA">
        <w:rPr>
          <w:b/>
          <w:bCs/>
        </w:rPr>
        <w:t>UN 38.3 (Transporte de Litio)</w:t>
      </w:r>
      <w:r w:rsidRPr="004844FA">
        <w:t xml:space="preserve">, que es la norma internacional que realmente garantiza la seguridad mecánica de las baterías." </w:t>
      </w:r>
    </w:p>
    <w:p w14:paraId="0C4AFD62" w14:textId="77777777" w:rsidR="0061695F" w:rsidRPr="004844FA" w:rsidRDefault="0061695F" w:rsidP="00E1521D">
      <w:pPr>
        <w:jc w:val="both"/>
        <w:rPr>
          <w:b/>
          <w:bCs/>
        </w:rPr>
      </w:pPr>
    </w:p>
    <w:p w14:paraId="22A06A20" w14:textId="1B46F5A8" w:rsidR="00891530" w:rsidRPr="004844FA" w:rsidRDefault="00891530" w:rsidP="00E1521D">
      <w:pPr>
        <w:jc w:val="both"/>
        <w:rPr>
          <w:b/>
          <w:bCs/>
        </w:rPr>
      </w:pPr>
      <w:r w:rsidRPr="004844FA">
        <w:rPr>
          <w:b/>
          <w:bCs/>
        </w:rPr>
        <w:t>Respuesta:</w:t>
      </w:r>
    </w:p>
    <w:p w14:paraId="7F140239" w14:textId="2E175BB7" w:rsidR="00891530" w:rsidRDefault="00B17297" w:rsidP="00E1521D">
      <w:pPr>
        <w:jc w:val="both"/>
        <w:rPr>
          <w:rFonts w:ascii="Cambria" w:hAnsi="Cambria"/>
          <w:color w:val="275317" w:themeColor="accent6" w:themeShade="80"/>
        </w:rPr>
      </w:pPr>
      <w:r>
        <w:rPr>
          <w:rFonts w:ascii="Cambria" w:hAnsi="Cambria"/>
          <w:color w:val="275317" w:themeColor="accent6" w:themeShade="80"/>
        </w:rPr>
        <w:t xml:space="preserve">Se </w:t>
      </w:r>
      <w:r w:rsidR="00685FA9">
        <w:rPr>
          <w:rFonts w:ascii="Cambria" w:hAnsi="Cambria"/>
          <w:color w:val="275317" w:themeColor="accent6" w:themeShade="80"/>
        </w:rPr>
        <w:t xml:space="preserve">asumen las observaciones </w:t>
      </w:r>
      <w:r w:rsidR="002125D1">
        <w:rPr>
          <w:rFonts w:ascii="Cambria" w:hAnsi="Cambria"/>
          <w:color w:val="275317" w:themeColor="accent6" w:themeShade="80"/>
        </w:rPr>
        <w:t>para la verificación de las c</w:t>
      </w:r>
      <w:r w:rsidR="00F503AA">
        <w:rPr>
          <w:rFonts w:ascii="Cambria" w:hAnsi="Cambria"/>
          <w:color w:val="275317" w:themeColor="accent6" w:themeShade="80"/>
        </w:rPr>
        <w:t>ertific</w:t>
      </w:r>
      <w:r w:rsidR="002125D1">
        <w:rPr>
          <w:rFonts w:ascii="Cambria" w:hAnsi="Cambria"/>
          <w:color w:val="275317" w:themeColor="accent6" w:themeShade="80"/>
        </w:rPr>
        <w:t>aciones</w:t>
      </w:r>
      <w:r w:rsidR="00685FA9">
        <w:rPr>
          <w:rFonts w:ascii="Cambria" w:hAnsi="Cambria"/>
          <w:color w:val="275317" w:themeColor="accent6" w:themeShade="80"/>
        </w:rPr>
        <w:t>.</w:t>
      </w:r>
    </w:p>
    <w:p w14:paraId="5126570B" w14:textId="77777777" w:rsidR="004844FA" w:rsidRPr="008B3086" w:rsidRDefault="004844FA" w:rsidP="00E1521D">
      <w:pPr>
        <w:jc w:val="both"/>
        <w:rPr>
          <w:rFonts w:ascii="Cambria" w:hAnsi="Cambria"/>
          <w:color w:val="275317" w:themeColor="accent6" w:themeShade="80"/>
        </w:rPr>
      </w:pPr>
    </w:p>
    <w:p w14:paraId="5F290959" w14:textId="77777777" w:rsidR="008B3086" w:rsidRPr="00891530" w:rsidRDefault="008B3086" w:rsidP="00E1521D">
      <w:pPr>
        <w:jc w:val="both"/>
      </w:pPr>
    </w:p>
    <w:p w14:paraId="3DA6322E" w14:textId="77777777" w:rsidR="00891530" w:rsidRPr="00891530" w:rsidRDefault="00891530" w:rsidP="00E1521D">
      <w:pPr>
        <w:jc w:val="both"/>
      </w:pPr>
      <w:r w:rsidRPr="00891530">
        <w:rPr>
          <w:b/>
          <w:bCs/>
        </w:rPr>
        <w:t xml:space="preserve">CONSULTA </w:t>
      </w:r>
      <w:proofErr w:type="spellStart"/>
      <w:proofErr w:type="gramStart"/>
      <w:r w:rsidRPr="00891530">
        <w:rPr>
          <w:b/>
          <w:bCs/>
        </w:rPr>
        <w:t>No.xx</w:t>
      </w:r>
      <w:proofErr w:type="spellEnd"/>
      <w:proofErr w:type="gramEnd"/>
      <w:r w:rsidRPr="00891530">
        <w:rPr>
          <w:b/>
          <w:bCs/>
        </w:rPr>
        <w:t xml:space="preserve">: Sobre la conformación de múltiples consorcios por lotes independientes. </w:t>
      </w:r>
      <w:r w:rsidRPr="00891530">
        <w:t xml:space="preserve">"Considerando la magnitud de los requisitos financieros (Facturación Anual y Flujo de Efectivo) y la alta especialización técnica exigida en la Sección III para los tres lotes del proceso </w:t>
      </w:r>
      <w:r w:rsidRPr="00891530">
        <w:rPr>
          <w:b/>
          <w:bCs/>
        </w:rPr>
        <w:t>MEM-BID-LPI-2026-001</w:t>
      </w:r>
      <w:r w:rsidRPr="00891530">
        <w:t>, un grupo de empresas está evaluando participar mediante la modalidad de Asociación en Participación, Consorcio o Asociación (APCA) de la siguiente manera:</w:t>
      </w:r>
    </w:p>
    <w:p w14:paraId="2BDFD0B9" w14:textId="77777777" w:rsidR="00891530" w:rsidRPr="00891530" w:rsidRDefault="00891530" w:rsidP="00E1521D">
      <w:pPr>
        <w:numPr>
          <w:ilvl w:val="0"/>
          <w:numId w:val="25"/>
        </w:numPr>
        <w:jc w:val="both"/>
      </w:pPr>
      <w:r w:rsidRPr="00891530">
        <w:rPr>
          <w:b/>
          <w:bCs/>
        </w:rPr>
        <w:t>Lote 1 (Edesur):</w:t>
      </w:r>
      <w:r w:rsidRPr="00891530">
        <w:t xml:space="preserve"> Oferta presentada por el </w:t>
      </w:r>
      <w:r w:rsidRPr="00891530">
        <w:rPr>
          <w:b/>
          <w:bCs/>
        </w:rPr>
        <w:t>Consorcio IA</w:t>
      </w:r>
      <w:r w:rsidRPr="00891530">
        <w:t xml:space="preserve"> (integrado por la Empresa I y la Empresa A). </w:t>
      </w:r>
    </w:p>
    <w:p w14:paraId="44572405" w14:textId="77777777" w:rsidR="00891530" w:rsidRPr="00891530" w:rsidRDefault="00891530" w:rsidP="00E1521D">
      <w:pPr>
        <w:numPr>
          <w:ilvl w:val="0"/>
          <w:numId w:val="25"/>
        </w:numPr>
        <w:jc w:val="both"/>
      </w:pPr>
      <w:r w:rsidRPr="00891530">
        <w:rPr>
          <w:b/>
          <w:bCs/>
        </w:rPr>
        <w:t>Lote 2 (</w:t>
      </w:r>
      <w:proofErr w:type="spellStart"/>
      <w:r w:rsidRPr="00891530">
        <w:rPr>
          <w:b/>
          <w:bCs/>
        </w:rPr>
        <w:t>Edenorte</w:t>
      </w:r>
      <w:proofErr w:type="spellEnd"/>
      <w:r w:rsidRPr="00891530">
        <w:rPr>
          <w:b/>
          <w:bCs/>
        </w:rPr>
        <w:t>):</w:t>
      </w:r>
      <w:r w:rsidRPr="00891530">
        <w:t xml:space="preserve"> Oferta presentada por el </w:t>
      </w:r>
      <w:r w:rsidRPr="00891530">
        <w:rPr>
          <w:b/>
          <w:bCs/>
        </w:rPr>
        <w:t>Consorcio IB</w:t>
      </w:r>
      <w:r w:rsidRPr="00891530">
        <w:t xml:space="preserve"> (integrado por la Empresa I y la Empresa B). </w:t>
      </w:r>
    </w:p>
    <w:p w14:paraId="5E0DB359" w14:textId="77777777" w:rsidR="00891530" w:rsidRPr="00891530" w:rsidRDefault="00891530" w:rsidP="00E1521D">
      <w:pPr>
        <w:numPr>
          <w:ilvl w:val="0"/>
          <w:numId w:val="25"/>
        </w:numPr>
        <w:jc w:val="both"/>
      </w:pPr>
      <w:r w:rsidRPr="00891530">
        <w:rPr>
          <w:b/>
          <w:bCs/>
        </w:rPr>
        <w:t>Lote 3 (</w:t>
      </w:r>
      <w:proofErr w:type="spellStart"/>
      <w:r w:rsidRPr="00891530">
        <w:rPr>
          <w:b/>
          <w:bCs/>
        </w:rPr>
        <w:t>Edeeste</w:t>
      </w:r>
      <w:proofErr w:type="spellEnd"/>
      <w:r w:rsidRPr="00891530">
        <w:rPr>
          <w:b/>
          <w:bCs/>
        </w:rPr>
        <w:t>):</w:t>
      </w:r>
      <w:r w:rsidRPr="00891530">
        <w:t xml:space="preserve"> Oferta presentada por el </w:t>
      </w:r>
      <w:r w:rsidRPr="00891530">
        <w:rPr>
          <w:b/>
          <w:bCs/>
        </w:rPr>
        <w:t>Consorcio IC</w:t>
      </w:r>
      <w:r w:rsidRPr="00891530">
        <w:t xml:space="preserve"> (integrado por la Empresa I y la Empresa C). </w:t>
      </w:r>
    </w:p>
    <w:p w14:paraId="4EA64DE0" w14:textId="77777777" w:rsidR="00891530" w:rsidRPr="00891530" w:rsidRDefault="00891530" w:rsidP="00E1521D">
      <w:pPr>
        <w:jc w:val="both"/>
      </w:pPr>
      <w:r w:rsidRPr="00891530">
        <w:t xml:space="preserve">Bajo esta configuración, la </w:t>
      </w:r>
      <w:r w:rsidRPr="00891530">
        <w:rPr>
          <w:b/>
          <w:bCs/>
        </w:rPr>
        <w:t>Empresa I</w:t>
      </w:r>
      <w:r w:rsidRPr="00891530">
        <w:t xml:space="preserve"> participaría como miembro legal (socio del consorcio) en las tres ofertas, pero cada consorcio (IA, IB y IC) ofertaría por un </w:t>
      </w:r>
      <w:r w:rsidRPr="00891530">
        <w:rPr>
          <w:b/>
          <w:bCs/>
        </w:rPr>
        <w:t>lote geográfico y contractual distinto e independiente</w:t>
      </w:r>
      <w:r w:rsidRPr="00891530">
        <w:t>.</w:t>
      </w:r>
    </w:p>
    <w:p w14:paraId="5D065D78" w14:textId="77777777" w:rsidR="00891530" w:rsidRPr="00891530" w:rsidRDefault="00891530" w:rsidP="00E1521D">
      <w:pPr>
        <w:jc w:val="both"/>
      </w:pPr>
      <w:r w:rsidRPr="00891530">
        <w:t xml:space="preserve">Dado que no existe una colisión de intereses al tratarse de lotes separados y considerando que cada oferta técnica y económica sería evaluada por sus propios méritos, ¿confirmará la UEP si esta estructura de participación es permitida bajo el alcance de la </w:t>
      </w:r>
      <w:r w:rsidRPr="00891530">
        <w:rPr>
          <w:b/>
          <w:bCs/>
        </w:rPr>
        <w:t>IAL 4.4</w:t>
      </w:r>
      <w:r w:rsidRPr="00891530">
        <w:t xml:space="preserve"> de </w:t>
      </w:r>
      <w:r w:rsidRPr="00891530">
        <w:lastRenderedPageBreak/>
        <w:t>las Instrucciones a los Licitantes, o si la restricción de 'una oferta por licitante' se aplica al proceso completo independientemente de la división por lotes?"</w:t>
      </w:r>
    </w:p>
    <w:p w14:paraId="583CAF4A" w14:textId="77777777" w:rsidR="00891530" w:rsidRPr="00891530" w:rsidRDefault="00891530" w:rsidP="00E1521D">
      <w:pPr>
        <w:jc w:val="both"/>
        <w:rPr>
          <w:b/>
          <w:bCs/>
        </w:rPr>
      </w:pPr>
      <w:r w:rsidRPr="00891530">
        <w:rPr>
          <w:b/>
          <w:bCs/>
        </w:rPr>
        <w:t>Respuesta:</w:t>
      </w:r>
    </w:p>
    <w:p w14:paraId="2B1D9CE6" w14:textId="3E47D30C" w:rsidR="00891530" w:rsidRDefault="008B3086" w:rsidP="00E1521D">
      <w:pPr>
        <w:jc w:val="both"/>
      </w:pPr>
      <w:r w:rsidRPr="008B3086">
        <w:rPr>
          <w:rFonts w:ascii="Cambria" w:hAnsi="Cambria"/>
          <w:color w:val="275317" w:themeColor="accent6" w:themeShade="80"/>
        </w:rPr>
        <w:t xml:space="preserve">Consulta </w:t>
      </w:r>
      <w:r>
        <w:rPr>
          <w:rFonts w:ascii="Cambria" w:hAnsi="Cambria"/>
          <w:color w:val="275317" w:themeColor="accent6" w:themeShade="80"/>
        </w:rPr>
        <w:t>administrativa</w:t>
      </w:r>
    </w:p>
    <w:p w14:paraId="3F2A5AC9" w14:textId="77777777" w:rsidR="008B3086" w:rsidRPr="00891530" w:rsidRDefault="008B3086" w:rsidP="00E1521D">
      <w:pPr>
        <w:jc w:val="both"/>
      </w:pPr>
    </w:p>
    <w:p w14:paraId="2A18F66D" w14:textId="77777777" w:rsidR="00891530" w:rsidRPr="00891530" w:rsidRDefault="00891530" w:rsidP="00E1521D">
      <w:pPr>
        <w:jc w:val="both"/>
      </w:pPr>
      <w:r w:rsidRPr="00891530">
        <w:rPr>
          <w:b/>
          <w:bCs/>
        </w:rPr>
        <w:t xml:space="preserve">CONSULTA </w:t>
      </w:r>
      <w:proofErr w:type="spellStart"/>
      <w:proofErr w:type="gramStart"/>
      <w:r w:rsidRPr="00891530">
        <w:rPr>
          <w:b/>
          <w:bCs/>
        </w:rPr>
        <w:t>No.XX</w:t>
      </w:r>
      <w:proofErr w:type="spellEnd"/>
      <w:proofErr w:type="gramEnd"/>
      <w:r w:rsidRPr="00891530">
        <w:rPr>
          <w:b/>
          <w:bCs/>
        </w:rPr>
        <w:t xml:space="preserve">: Sobre la Proporcionalidad en el Criterio de Evaluación de Experiencia en Nodos. </w:t>
      </w:r>
      <w:r w:rsidRPr="00891530">
        <w:t xml:space="preserve">"En referencia a la </w:t>
      </w:r>
      <w:r w:rsidRPr="00891530">
        <w:rPr>
          <w:b/>
          <w:bCs/>
        </w:rPr>
        <w:t>Sección III, Factor 2.4 (Experiencia)</w:t>
      </w:r>
      <w:r w:rsidRPr="00891530">
        <w:t xml:space="preserve">, específicamente en los ítems 1 y 2 de la matriz de evaluación técnica, se observa que se otorga el puntaje </w:t>
      </w:r>
      <w:r w:rsidRPr="00891530">
        <w:rPr>
          <w:b/>
          <w:bCs/>
        </w:rPr>
        <w:t>Óptimo</w:t>
      </w:r>
      <w:r w:rsidRPr="00891530">
        <w:t xml:space="preserve"> únicamente a aquellos oferentes que acrediten el suministro e instalación de más de </w:t>
      </w:r>
      <w:r w:rsidRPr="00891530">
        <w:rPr>
          <w:b/>
          <w:bCs/>
        </w:rPr>
        <w:t>500,000 nodos</w:t>
      </w:r>
      <w:r w:rsidRPr="00891530">
        <w:t xml:space="preserve"> en una ciudad o red en operación. Al respecto, solicitamos respetuosamente a la UEP/MEM considerar la modificación de este umbral basándose en los siguientes fundamentos técnicos y legales:</w:t>
      </w:r>
    </w:p>
    <w:p w14:paraId="1AB28965" w14:textId="77777777" w:rsidR="00891530" w:rsidRPr="00891530" w:rsidRDefault="00891530" w:rsidP="00E1521D">
      <w:pPr>
        <w:numPr>
          <w:ilvl w:val="0"/>
          <w:numId w:val="26"/>
        </w:numPr>
        <w:jc w:val="both"/>
      </w:pPr>
      <w:r w:rsidRPr="00891530">
        <w:rPr>
          <w:b/>
          <w:bCs/>
        </w:rPr>
        <w:t>Principio de Proporcionalidad:</w:t>
      </w:r>
      <w:r w:rsidRPr="00891530">
        <w:t xml:space="preserve"> El alcance total del proceso </w:t>
      </w:r>
      <w:r w:rsidRPr="00891530">
        <w:rPr>
          <w:b/>
          <w:bCs/>
        </w:rPr>
        <w:t>MEM-LPI-BID-2026-001</w:t>
      </w:r>
      <w:r w:rsidRPr="00891530">
        <w:t xml:space="preserve">, considerando la sumatoria de los tres lotes (Edesur, </w:t>
      </w:r>
      <w:proofErr w:type="spellStart"/>
      <w:r w:rsidRPr="00891530">
        <w:t>Edenorte</w:t>
      </w:r>
      <w:proofErr w:type="spellEnd"/>
      <w:r w:rsidRPr="00891530">
        <w:t xml:space="preserve"> y </w:t>
      </w:r>
      <w:proofErr w:type="spellStart"/>
      <w:r w:rsidRPr="00891530">
        <w:t>Edeeste</w:t>
      </w:r>
      <w:proofErr w:type="spellEnd"/>
      <w:r w:rsidRPr="00891530">
        <w:t xml:space="preserve">), asciende a aproximadamente </w:t>
      </w:r>
      <w:r w:rsidRPr="00891530">
        <w:rPr>
          <w:b/>
          <w:bCs/>
        </w:rPr>
        <w:t>206,261 luminarias/nodos</w:t>
      </w:r>
      <w:r w:rsidRPr="00891530">
        <w:t xml:space="preserve">. Exigir una experiencia previa de 500,000 unidades (equivalente al 242% del tamaño total del proyecto) para obtener la máxima puntuación resulta excesivo y no guarda una relación directa con la complejidad de la obra a ejecutar. </w:t>
      </w:r>
    </w:p>
    <w:p w14:paraId="4E4D9A58" w14:textId="77777777" w:rsidR="00891530" w:rsidRPr="00891530" w:rsidRDefault="00891530" w:rsidP="00E1521D">
      <w:pPr>
        <w:numPr>
          <w:ilvl w:val="0"/>
          <w:numId w:val="26"/>
        </w:numPr>
        <w:jc w:val="both"/>
      </w:pPr>
      <w:r w:rsidRPr="00891530">
        <w:rPr>
          <w:b/>
          <w:bCs/>
        </w:rPr>
        <w:t>Independencia de Procesos:</w:t>
      </w:r>
      <w:r w:rsidRPr="00891530">
        <w:t xml:space="preserve"> Dado que el Ministerio ha definido que el suministro de hardware (01) es independiente de la plataforma de telegestión (02), la capacidad técnica requerida en esta etapa debe centrarse en la </w:t>
      </w:r>
      <w:r w:rsidRPr="00891530">
        <w:rPr>
          <w:b/>
          <w:bCs/>
        </w:rPr>
        <w:t>calidad de la luminaria y su eficiencia lumínica</w:t>
      </w:r>
      <w:r w:rsidRPr="00891530">
        <w:t xml:space="preserve">. Evaluar masivamente una experiencia en redes inteligentes (nodos) de tal envergadura en un contrato de suministro físico desvirtúa el objetivo de eficiencia energética del MEM-LPI-BID-01-2026. </w:t>
      </w:r>
    </w:p>
    <w:p w14:paraId="1226F3B8" w14:textId="77777777" w:rsidR="00891530" w:rsidRPr="00891530" w:rsidRDefault="00891530" w:rsidP="00E1521D">
      <w:pPr>
        <w:numPr>
          <w:ilvl w:val="0"/>
          <w:numId w:val="26"/>
        </w:numPr>
        <w:jc w:val="both"/>
      </w:pPr>
      <w:r w:rsidRPr="00891530">
        <w:rPr>
          <w:b/>
          <w:bCs/>
        </w:rPr>
        <w:t>Políticas del BID sobre Libre Competencia:</w:t>
      </w:r>
      <w:r w:rsidRPr="00891530">
        <w:t xml:space="preserve"> El umbral de 500,000 nodos actúa como una barrera técnica que restringe la participación de empresas líderes del sector que poseen amplia experiencia en despliegues regionales de gran escala, pero que no alcanzan cifras de megaciudades globales. Esto podría interpretarse como una limitante a la </w:t>
      </w:r>
      <w:r w:rsidRPr="00891530">
        <w:rPr>
          <w:b/>
          <w:bCs/>
        </w:rPr>
        <w:t>libre concurrencia</w:t>
      </w:r>
      <w:r w:rsidRPr="00891530">
        <w:t xml:space="preserve"> exigida en las normas del Banco. </w:t>
      </w:r>
    </w:p>
    <w:p w14:paraId="7B6093D6" w14:textId="77777777" w:rsidR="00891530" w:rsidRPr="00891530" w:rsidRDefault="00891530" w:rsidP="00E1521D">
      <w:pPr>
        <w:jc w:val="both"/>
      </w:pPr>
      <w:r w:rsidRPr="00891530">
        <w:rPr>
          <w:b/>
          <w:bCs/>
        </w:rPr>
        <w:t>Sugerencia:</w:t>
      </w:r>
      <w:r w:rsidRPr="00891530">
        <w:t xml:space="preserve"> Se solicita formalmente a la UEP/MEM </w:t>
      </w:r>
      <w:r w:rsidRPr="00891530">
        <w:rPr>
          <w:b/>
          <w:bCs/>
        </w:rPr>
        <w:t>reducir el umbral para el puntaje Óptimo de 500,000 a 200,000 nodos</w:t>
      </w:r>
      <w:r w:rsidRPr="00891530">
        <w:t xml:space="preserve"> (alineado al 100% del alcance total del proyecto) y ajustar proporcionalmente los niveles 'Bueno' y 'Aceptable'. Esto asegurará una evaluación basada en la capacidad real de ejecución de este contrato y fomentará una competencia económica más saludable para el Estado Dominicano."</w:t>
      </w:r>
    </w:p>
    <w:p w14:paraId="046C97BF" w14:textId="77777777" w:rsidR="004844FA" w:rsidRDefault="004844FA" w:rsidP="00E1521D">
      <w:pPr>
        <w:jc w:val="both"/>
        <w:rPr>
          <w:b/>
          <w:bCs/>
        </w:rPr>
      </w:pPr>
    </w:p>
    <w:p w14:paraId="43146936" w14:textId="46E6197C" w:rsidR="00891530" w:rsidRPr="00891530" w:rsidRDefault="00891530" w:rsidP="00E1521D">
      <w:pPr>
        <w:jc w:val="both"/>
        <w:rPr>
          <w:b/>
          <w:bCs/>
        </w:rPr>
      </w:pPr>
      <w:r w:rsidRPr="004844FA">
        <w:rPr>
          <w:b/>
          <w:bCs/>
          <w:highlight w:val="green"/>
        </w:rPr>
        <w:t>Respuesta:</w:t>
      </w:r>
    </w:p>
    <w:p w14:paraId="75421A30" w14:textId="68A74E21" w:rsidR="008B3086" w:rsidRPr="008B3086" w:rsidRDefault="00EF71BC" w:rsidP="00E1521D">
      <w:pPr>
        <w:jc w:val="both"/>
        <w:rPr>
          <w:rFonts w:ascii="Cambria" w:hAnsi="Cambria"/>
          <w:color w:val="275317" w:themeColor="accent6" w:themeShade="80"/>
        </w:rPr>
      </w:pPr>
      <w:r>
        <w:rPr>
          <w:rFonts w:ascii="Cambria" w:hAnsi="Cambria"/>
          <w:color w:val="275317" w:themeColor="accent6" w:themeShade="80"/>
        </w:rPr>
        <w:t xml:space="preserve">Se exige el número de luminaria correspondiente a cada </w:t>
      </w:r>
      <w:r w:rsidR="004844FA">
        <w:rPr>
          <w:rFonts w:ascii="Cambria" w:hAnsi="Cambria"/>
          <w:color w:val="275317" w:themeColor="accent6" w:themeShade="80"/>
        </w:rPr>
        <w:t>lote.</w:t>
      </w:r>
    </w:p>
    <w:p w14:paraId="54DE2A05" w14:textId="715D2C47" w:rsidR="008B3086" w:rsidRDefault="008B3086" w:rsidP="00E1521D">
      <w:pPr>
        <w:jc w:val="both"/>
      </w:pPr>
    </w:p>
    <w:p w14:paraId="3588F45D" w14:textId="77777777" w:rsidR="008B3086" w:rsidRPr="00891530" w:rsidRDefault="008B3086" w:rsidP="00E1521D">
      <w:pPr>
        <w:jc w:val="both"/>
      </w:pPr>
    </w:p>
    <w:p w14:paraId="1F002FB7" w14:textId="77777777" w:rsidR="00891530" w:rsidRPr="00891530" w:rsidRDefault="00891530" w:rsidP="00E1521D">
      <w:pPr>
        <w:jc w:val="both"/>
      </w:pPr>
      <w:r w:rsidRPr="00891530">
        <w:rPr>
          <w:b/>
          <w:bCs/>
        </w:rPr>
        <w:t xml:space="preserve">CONSULTA </w:t>
      </w:r>
      <w:proofErr w:type="spellStart"/>
      <w:proofErr w:type="gramStart"/>
      <w:r w:rsidRPr="00891530">
        <w:rPr>
          <w:b/>
          <w:bCs/>
        </w:rPr>
        <w:t>No.XX</w:t>
      </w:r>
      <w:proofErr w:type="spellEnd"/>
      <w:proofErr w:type="gramEnd"/>
      <w:r w:rsidRPr="00891530">
        <w:rPr>
          <w:b/>
          <w:bCs/>
        </w:rPr>
        <w:t xml:space="preserve">: Sobre la Proporcionalidad del Requisito de Experiencia Específica y la Protección de la Participación Nacional. </w:t>
      </w:r>
      <w:r w:rsidRPr="00891530">
        <w:t xml:space="preserve">"En referencia a la </w:t>
      </w:r>
      <w:r w:rsidRPr="00891530">
        <w:rPr>
          <w:b/>
          <w:bCs/>
        </w:rPr>
        <w:t>Sección III, Factor 2.4, Numeral 4.2 (a) y (b)</w:t>
      </w:r>
      <w:r w:rsidRPr="00891530">
        <w:t xml:space="preserve">, se establece como requisito de experiencia específica que los contratos presentados deben acreditar la instalación de un mínimo de </w:t>
      </w:r>
      <w:r w:rsidRPr="00891530">
        <w:rPr>
          <w:b/>
          <w:bCs/>
        </w:rPr>
        <w:t>250,000 luminarias</w:t>
      </w:r>
      <w:r w:rsidRPr="00891530">
        <w:t>. Al respecto, solicitamos formalmente la revisión y reducción drástica de este umbral, fundamentados en los siguientes puntos de derecho y realidad técnica:</w:t>
      </w:r>
    </w:p>
    <w:p w14:paraId="653347A3" w14:textId="77777777" w:rsidR="00891530" w:rsidRPr="00891530" w:rsidRDefault="00891530" w:rsidP="00E1521D">
      <w:pPr>
        <w:numPr>
          <w:ilvl w:val="0"/>
          <w:numId w:val="27"/>
        </w:numPr>
        <w:jc w:val="both"/>
      </w:pPr>
      <w:r w:rsidRPr="00891530">
        <w:rPr>
          <w:b/>
          <w:bCs/>
        </w:rPr>
        <w:t>Principio de Proporcionalidad y Razonabilidad:</w:t>
      </w:r>
      <w:r w:rsidRPr="00891530">
        <w:t xml:space="preserve"> El alcance total del presente proceso </w:t>
      </w:r>
      <w:r w:rsidRPr="00891530">
        <w:rPr>
          <w:b/>
          <w:bCs/>
        </w:rPr>
        <w:t>MEM-LPI-BID-2026-001</w:t>
      </w:r>
      <w:r w:rsidRPr="00891530">
        <w:t xml:space="preserve"> (sumando los tres lotes) es de aproximadamente </w:t>
      </w:r>
      <w:r w:rsidRPr="00891530">
        <w:rPr>
          <w:b/>
          <w:bCs/>
        </w:rPr>
        <w:t>206,261 luminarias</w:t>
      </w:r>
      <w:r w:rsidRPr="00891530">
        <w:t xml:space="preserve">. Resulta técnicamente injustificado y </w:t>
      </w:r>
      <w:r w:rsidRPr="00891530">
        <w:lastRenderedPageBreak/>
        <w:t xml:space="preserve">administrativamente excesivo exigir a los oferentes una experiencia previa que supera en un 21% el tamaño total del proyecto que se pretende ejecutar. Según las Políticas del BID (GN-2349-15), las condiciones para participar deben ser únicamente aquellas esenciales para asegurar la capacidad de la firma para cumplir el contrato. </w:t>
      </w:r>
    </w:p>
    <w:p w14:paraId="7B501A7B" w14:textId="77777777" w:rsidR="00891530" w:rsidRPr="00891530" w:rsidRDefault="00891530" w:rsidP="00E1521D">
      <w:pPr>
        <w:numPr>
          <w:ilvl w:val="0"/>
          <w:numId w:val="27"/>
        </w:numPr>
        <w:jc w:val="both"/>
      </w:pPr>
      <w:r w:rsidRPr="00891530">
        <w:rPr>
          <w:b/>
          <w:bCs/>
        </w:rPr>
        <w:t>Realidad del Mercado Local y Barrera de Entrada:</w:t>
      </w:r>
      <w:r w:rsidRPr="00891530">
        <w:t xml:space="preserve"> De acuerdo con los documentos del programa, el parque total de luminarias en la República Dominicana bajo gestión de las EDEs es de </w:t>
      </w:r>
      <w:r w:rsidRPr="00891530">
        <w:rPr>
          <w:b/>
          <w:bCs/>
        </w:rPr>
        <w:t>320,061 unidades</w:t>
      </w:r>
      <w:r w:rsidRPr="00891530">
        <w:t xml:space="preserve">. Exigir una experiencia de 250,000 luminarias implica requerir que una empresa dominicana haya intervenido el </w:t>
      </w:r>
      <w:r w:rsidRPr="00891530">
        <w:rPr>
          <w:b/>
          <w:bCs/>
        </w:rPr>
        <w:t>78% del inventario nacional total</w:t>
      </w:r>
      <w:r w:rsidRPr="00891530">
        <w:t xml:space="preserve">, lo cual constituye una barrera de entrada insalvable para la industria eléctrica local. Esto limita la competencia a un número reducido de firmas extranjeras, contraviniendo el espíritu de las licitaciones internacionales de fomentar el desarrollo de capacidades en los países prestatarios. </w:t>
      </w:r>
    </w:p>
    <w:p w14:paraId="4B14D62C" w14:textId="77777777" w:rsidR="00891530" w:rsidRPr="00891530" w:rsidRDefault="00891530" w:rsidP="00E1521D">
      <w:pPr>
        <w:numPr>
          <w:ilvl w:val="0"/>
          <w:numId w:val="27"/>
        </w:numPr>
        <w:jc w:val="both"/>
      </w:pPr>
      <w:r w:rsidRPr="00891530">
        <w:rPr>
          <w:b/>
          <w:bCs/>
        </w:rPr>
        <w:t>Impacto Económico y Compromiso Nacional:</w:t>
      </w:r>
      <w:r w:rsidRPr="00891530">
        <w:t xml:space="preserve"> El presente proyecto se financia mediante préstamos del </w:t>
      </w:r>
      <w:r w:rsidRPr="00891530">
        <w:rPr>
          <w:b/>
          <w:bCs/>
        </w:rPr>
        <w:t>BID (4962/OC-DR)</w:t>
      </w:r>
      <w:r w:rsidRPr="00891530">
        <w:t xml:space="preserve"> y </w:t>
      </w:r>
      <w:r w:rsidRPr="00891530">
        <w:rPr>
          <w:b/>
          <w:bCs/>
        </w:rPr>
        <w:t>JICA (DO-P5)</w:t>
      </w:r>
      <w:r w:rsidRPr="00891530">
        <w:t xml:space="preserve"> por un monto de </w:t>
      </w:r>
      <w:r w:rsidRPr="00891530">
        <w:rPr>
          <w:b/>
          <w:bCs/>
        </w:rPr>
        <w:t>US$75,000,000</w:t>
      </w:r>
      <w:r w:rsidRPr="00891530">
        <w:t xml:space="preserve">, los cuales constituyen deuda pública que será honrada por el pueblo dominicano. Resulta imperativo que el pliego de condiciones no excluya de facto a las empresas dominicanas, permitiéndoles liderar o participar en igualdad de condiciones para que el retorno económico y la generación de empleo especializado permanezcan en el país. </w:t>
      </w:r>
    </w:p>
    <w:p w14:paraId="796928A1" w14:textId="77777777" w:rsidR="00891530" w:rsidRPr="00891530" w:rsidRDefault="00891530" w:rsidP="00E1521D">
      <w:pPr>
        <w:jc w:val="both"/>
      </w:pPr>
      <w:r w:rsidRPr="00891530">
        <w:rPr>
          <w:b/>
          <w:bCs/>
        </w:rPr>
        <w:t>Sugerencia:</w:t>
      </w:r>
      <w:r w:rsidRPr="00891530">
        <w:t xml:space="preserve"> Se solicita a la UEP/MEM modificar el requisito de experiencia mínima instalada a un nivel acorde con la complejidad de cada lote individual, sugiriendo un umbral de </w:t>
      </w:r>
      <w:r w:rsidRPr="00891530">
        <w:rPr>
          <w:b/>
          <w:bCs/>
        </w:rPr>
        <w:t>50,000 luminarias</w:t>
      </w:r>
      <w:r w:rsidRPr="00891530">
        <w:t xml:space="preserve"> (aproximadamente el tamaño promedio de los lotes licitados). Esto garantizará la solvencia técnica sin restringir artificialmente la participación de contratistas dominicanos competentes."</w:t>
      </w:r>
    </w:p>
    <w:p w14:paraId="16FE426C" w14:textId="77777777" w:rsidR="004844FA" w:rsidRDefault="004844FA" w:rsidP="00E1521D">
      <w:pPr>
        <w:jc w:val="both"/>
        <w:rPr>
          <w:b/>
          <w:bCs/>
        </w:rPr>
      </w:pPr>
    </w:p>
    <w:p w14:paraId="52488FBD" w14:textId="5FD2045D" w:rsidR="00891530" w:rsidRPr="00891530" w:rsidRDefault="00891530" w:rsidP="00E1521D">
      <w:pPr>
        <w:jc w:val="both"/>
        <w:rPr>
          <w:b/>
          <w:bCs/>
        </w:rPr>
      </w:pPr>
      <w:r w:rsidRPr="004844FA">
        <w:rPr>
          <w:b/>
          <w:bCs/>
          <w:highlight w:val="green"/>
        </w:rPr>
        <w:t>Respuesta:</w:t>
      </w:r>
    </w:p>
    <w:p w14:paraId="62A51EEF" w14:textId="3346EC85" w:rsidR="008B3086" w:rsidRPr="004844FA" w:rsidRDefault="00EF71BC" w:rsidP="00E1521D">
      <w:pPr>
        <w:jc w:val="both"/>
        <w:rPr>
          <w:rFonts w:ascii="Cambria" w:hAnsi="Cambria"/>
          <w:color w:val="275317" w:themeColor="accent6" w:themeShade="80"/>
        </w:rPr>
      </w:pPr>
      <w:r>
        <w:rPr>
          <w:rFonts w:ascii="Cambria" w:hAnsi="Cambria"/>
          <w:color w:val="275317" w:themeColor="accent6" w:themeShade="80"/>
        </w:rPr>
        <w:t>Se exige el número de luminaria correspondiente a cada lote.</w:t>
      </w:r>
    </w:p>
    <w:p w14:paraId="7638C91E" w14:textId="77777777" w:rsidR="008B3086" w:rsidRPr="00891530" w:rsidRDefault="008B3086" w:rsidP="00E1521D">
      <w:pPr>
        <w:jc w:val="both"/>
      </w:pPr>
    </w:p>
    <w:p w14:paraId="74E8AEFE" w14:textId="77777777" w:rsidR="00891530" w:rsidRPr="00891530" w:rsidRDefault="00891530" w:rsidP="00E1521D">
      <w:pPr>
        <w:jc w:val="both"/>
      </w:pPr>
      <w:r w:rsidRPr="00891530">
        <w:t xml:space="preserve">Consulta </w:t>
      </w:r>
      <w:proofErr w:type="spellStart"/>
      <w:proofErr w:type="gramStart"/>
      <w:r w:rsidRPr="00891530">
        <w:t>No.XX</w:t>
      </w:r>
      <w:proofErr w:type="spellEnd"/>
      <w:r w:rsidRPr="00891530">
        <w:t>.</w:t>
      </w:r>
      <w:proofErr w:type="gramEnd"/>
      <w:r w:rsidRPr="00891530">
        <w:t xml:space="preserve"> Relación entre flujo luminoso y potencia. Se identifica una inconsistencia entre el flujo luminoso mínimo requerido (≥11,700 lm) y el rango de potencias nominales (desde 30 W).</w:t>
      </w:r>
    </w:p>
    <w:p w14:paraId="1D8E4F52" w14:textId="77777777" w:rsidR="00891530" w:rsidRPr="00891530" w:rsidRDefault="00891530" w:rsidP="00E1521D">
      <w:pPr>
        <w:jc w:val="both"/>
      </w:pPr>
      <w:r w:rsidRPr="00891530">
        <w:t>Bajo el criterio de eficacia mínima de la luminaria (≥150 lm/W, medido conforme a IES LM-79), dicho flujo corresponde aproximadamente a una potencia de 78 W, por lo que luminarias de menor potencia (30–70 W) no podrían cumplir simultáneamente con ambos requisitos.</w:t>
      </w:r>
    </w:p>
    <w:p w14:paraId="7785B8CE" w14:textId="77777777" w:rsidR="00891530" w:rsidRPr="00891530" w:rsidRDefault="00891530" w:rsidP="00E1521D">
      <w:pPr>
        <w:jc w:val="both"/>
      </w:pPr>
      <w:r w:rsidRPr="00891530">
        <w:t>Recomendación:</w:t>
      </w:r>
    </w:p>
    <w:p w14:paraId="600FA3A1" w14:textId="77777777" w:rsidR="00891530" w:rsidRPr="00891530" w:rsidRDefault="00891530" w:rsidP="00E1521D">
      <w:pPr>
        <w:jc w:val="both"/>
      </w:pPr>
      <w:r w:rsidRPr="00891530">
        <w:t>Establecer el flujo luminoso como función de la potencia nominal:</w:t>
      </w:r>
    </w:p>
    <w:p w14:paraId="53054DCD" w14:textId="77777777" w:rsidR="00891530" w:rsidRPr="00891530" w:rsidRDefault="00891530" w:rsidP="00E1521D">
      <w:pPr>
        <w:jc w:val="both"/>
      </w:pPr>
      <w:r w:rsidRPr="00891530">
        <w:t>Flujo (lm) = Potencia (W) × 150 lm/W</w:t>
      </w:r>
    </w:p>
    <w:p w14:paraId="0D86840C" w14:textId="77777777" w:rsidR="00891530" w:rsidRPr="00891530" w:rsidRDefault="00891530" w:rsidP="00E1521D">
      <w:pPr>
        <w:jc w:val="both"/>
      </w:pPr>
      <w:r w:rsidRPr="00891530">
        <w:t>Potencia (W) Flujo luminoso mínimo (lm) Flujo típico esperable (lm)</w:t>
      </w:r>
    </w:p>
    <w:p w14:paraId="7C847A47" w14:textId="77777777" w:rsidR="00891530" w:rsidRPr="00891530" w:rsidRDefault="00891530" w:rsidP="00E1521D">
      <w:pPr>
        <w:jc w:val="both"/>
      </w:pPr>
      <w:r w:rsidRPr="00891530">
        <w:t>30                4,500                                    4,500 –   5,500</w:t>
      </w:r>
    </w:p>
    <w:p w14:paraId="0153DF4C" w14:textId="77777777" w:rsidR="00891530" w:rsidRPr="00891530" w:rsidRDefault="00891530" w:rsidP="00E1521D">
      <w:pPr>
        <w:jc w:val="both"/>
      </w:pPr>
      <w:r w:rsidRPr="00891530">
        <w:t>40                6,000                                    6,000 –   7,200</w:t>
      </w:r>
    </w:p>
    <w:p w14:paraId="09AA107F" w14:textId="77777777" w:rsidR="00891530" w:rsidRPr="00891530" w:rsidRDefault="00891530" w:rsidP="00E1521D">
      <w:pPr>
        <w:jc w:val="both"/>
      </w:pPr>
      <w:r w:rsidRPr="00891530">
        <w:t>50                7,500                                    7,500 –   9,000</w:t>
      </w:r>
    </w:p>
    <w:p w14:paraId="5C47A038" w14:textId="77777777" w:rsidR="00891530" w:rsidRPr="00891530" w:rsidRDefault="00891530" w:rsidP="00E1521D">
      <w:pPr>
        <w:jc w:val="both"/>
      </w:pPr>
      <w:r w:rsidRPr="00891530">
        <w:t>60                 9,000                                   9,000 –   10,800</w:t>
      </w:r>
    </w:p>
    <w:p w14:paraId="42DA5FA5" w14:textId="77777777" w:rsidR="00891530" w:rsidRPr="00891530" w:rsidRDefault="00891530" w:rsidP="00E1521D">
      <w:pPr>
        <w:jc w:val="both"/>
      </w:pPr>
      <w:r w:rsidRPr="00891530">
        <w:t>70                10,500                                  10,500 – 12,500</w:t>
      </w:r>
    </w:p>
    <w:p w14:paraId="4E941043" w14:textId="77777777" w:rsidR="00891530" w:rsidRPr="00891530" w:rsidRDefault="00891530" w:rsidP="00E1521D">
      <w:pPr>
        <w:jc w:val="both"/>
      </w:pPr>
      <w:r w:rsidRPr="00891530">
        <w:t>80                12,000                                  12,000 – 14,500</w:t>
      </w:r>
    </w:p>
    <w:p w14:paraId="2140B395" w14:textId="77777777" w:rsidR="00891530" w:rsidRPr="00891530" w:rsidRDefault="00891530" w:rsidP="00E1521D">
      <w:pPr>
        <w:jc w:val="both"/>
      </w:pPr>
      <w:r w:rsidRPr="00891530">
        <w:t>90                13,500                                  13,500 – 16,000</w:t>
      </w:r>
    </w:p>
    <w:p w14:paraId="4A361B6B" w14:textId="77777777" w:rsidR="00891530" w:rsidRPr="00891530" w:rsidRDefault="00891530" w:rsidP="00E1521D">
      <w:pPr>
        <w:jc w:val="both"/>
      </w:pPr>
      <w:r w:rsidRPr="00891530">
        <w:t>100              15,000                                  15,000 – 18,000</w:t>
      </w:r>
    </w:p>
    <w:p w14:paraId="18C6ABDE" w14:textId="77777777" w:rsidR="00891530" w:rsidRPr="00891530" w:rsidRDefault="00891530" w:rsidP="00E1521D">
      <w:pPr>
        <w:jc w:val="both"/>
      </w:pPr>
      <w:r w:rsidRPr="00891530">
        <w:lastRenderedPageBreak/>
        <w:t>110              16,500                                  16,500 – 19,500</w:t>
      </w:r>
    </w:p>
    <w:p w14:paraId="18BC2EE1" w14:textId="77777777" w:rsidR="00891530" w:rsidRPr="00891530" w:rsidRDefault="00891530" w:rsidP="00E1521D">
      <w:pPr>
        <w:jc w:val="both"/>
      </w:pPr>
      <w:r w:rsidRPr="00891530">
        <w:t>120              18,000                                  18,000 – 21,000</w:t>
      </w:r>
    </w:p>
    <w:p w14:paraId="065F2F4E" w14:textId="77777777" w:rsidR="00891530" w:rsidRPr="00891530" w:rsidRDefault="00891530" w:rsidP="00E1521D">
      <w:pPr>
        <w:jc w:val="both"/>
      </w:pPr>
      <w:r w:rsidRPr="00891530">
        <w:t>150              22,500                                  22,500 – 26,000</w:t>
      </w:r>
    </w:p>
    <w:p w14:paraId="0CA67458" w14:textId="77777777" w:rsidR="00891530" w:rsidRPr="00891530" w:rsidRDefault="00891530" w:rsidP="00E1521D">
      <w:pPr>
        <w:jc w:val="both"/>
      </w:pPr>
      <w:r w:rsidRPr="00891530">
        <w:t>160              24,000                                  24,000 – 28,000</w:t>
      </w:r>
    </w:p>
    <w:p w14:paraId="68C9FF80" w14:textId="77777777" w:rsidR="00891530" w:rsidRPr="00891530" w:rsidRDefault="00891530" w:rsidP="00E1521D">
      <w:pPr>
        <w:jc w:val="both"/>
      </w:pPr>
      <w:r w:rsidRPr="00891530">
        <w:t>180              27,000                                  27,000 – 31,000</w:t>
      </w:r>
    </w:p>
    <w:p w14:paraId="285BBFCC" w14:textId="77777777" w:rsidR="00891530" w:rsidRPr="00891530" w:rsidRDefault="00891530" w:rsidP="00E1521D">
      <w:pPr>
        <w:jc w:val="both"/>
      </w:pPr>
      <w:r w:rsidRPr="00891530">
        <w:t>200              30,000                                  30,000 – 35,000</w:t>
      </w:r>
    </w:p>
    <w:p w14:paraId="62D9B6F8" w14:textId="77777777" w:rsidR="00891530" w:rsidRPr="00891530" w:rsidRDefault="00891530" w:rsidP="00E1521D">
      <w:pPr>
        <w:jc w:val="both"/>
      </w:pPr>
      <w:r w:rsidRPr="00891530">
        <w:t>240              36,000                                  36,000 – 42,000</w:t>
      </w:r>
    </w:p>
    <w:p w14:paraId="073D7CB5" w14:textId="77777777" w:rsidR="004844FA" w:rsidRDefault="004844FA" w:rsidP="00E1521D">
      <w:pPr>
        <w:jc w:val="both"/>
        <w:rPr>
          <w:b/>
          <w:bCs/>
        </w:rPr>
      </w:pPr>
    </w:p>
    <w:p w14:paraId="460916C1" w14:textId="77777777" w:rsidR="004844FA" w:rsidRPr="00044E87" w:rsidRDefault="004844FA" w:rsidP="004844FA">
      <w:pPr>
        <w:shd w:val="clear" w:color="auto" w:fill="FFFFFF" w:themeFill="background1"/>
        <w:jc w:val="both"/>
        <w:rPr>
          <w:b/>
          <w:bCs/>
        </w:rPr>
      </w:pPr>
      <w:r w:rsidRPr="00044E87">
        <w:rPr>
          <w:b/>
          <w:bCs/>
          <w:highlight w:val="green"/>
        </w:rPr>
        <w:t>Respuesta:</w:t>
      </w:r>
    </w:p>
    <w:p w14:paraId="65BAD6AF" w14:textId="77777777" w:rsidR="004844FA" w:rsidRPr="00667340" w:rsidRDefault="004844FA" w:rsidP="004844FA">
      <w:pPr>
        <w:jc w:val="both"/>
        <w:rPr>
          <w:u w:val="single"/>
        </w:rPr>
      </w:pPr>
      <w:r>
        <w:rPr>
          <w:rFonts w:ascii="Cambria" w:hAnsi="Cambria"/>
          <w:color w:val="275317" w:themeColor="accent6" w:themeShade="80"/>
        </w:rPr>
        <w:t>Se elimina la exigencia relativa al flujo luminoso ≥ 11.700lm. Se exige exclusivamente el cumplimiento de la e</w:t>
      </w:r>
      <w:r w:rsidRPr="000F1A93">
        <w:rPr>
          <w:rFonts w:ascii="Cambria" w:hAnsi="Cambria"/>
          <w:color w:val="275317" w:themeColor="accent6" w:themeShade="80"/>
        </w:rPr>
        <w:t xml:space="preserve">ficiencia lm/w </w:t>
      </w:r>
      <w:r>
        <w:rPr>
          <w:rFonts w:ascii="Cambria" w:hAnsi="Cambria"/>
          <w:color w:val="275317" w:themeColor="accent6" w:themeShade="80"/>
        </w:rPr>
        <w:t>con un valor m</w:t>
      </w:r>
      <w:r w:rsidRPr="000F1A93">
        <w:rPr>
          <w:rFonts w:ascii="Cambria" w:hAnsi="Cambria"/>
          <w:color w:val="275317" w:themeColor="accent6" w:themeShade="80"/>
        </w:rPr>
        <w:t xml:space="preserve">ínimo </w:t>
      </w:r>
      <w:r>
        <w:rPr>
          <w:rFonts w:ascii="Cambria" w:hAnsi="Cambria"/>
          <w:color w:val="275317" w:themeColor="accent6" w:themeShade="80"/>
        </w:rPr>
        <w:t>ensayado ≥150 lm/W. Los valores propuestos en la tabla de la Consulta #3 son correctos, y serán considerados en la PDGT.</w:t>
      </w:r>
    </w:p>
    <w:p w14:paraId="59350D68" w14:textId="0E316D39" w:rsidR="008B3086" w:rsidRDefault="008B3086" w:rsidP="00E1521D">
      <w:pPr>
        <w:jc w:val="both"/>
      </w:pPr>
    </w:p>
    <w:p w14:paraId="4500DD76" w14:textId="77777777" w:rsidR="00891530" w:rsidRPr="00891530" w:rsidRDefault="00891530" w:rsidP="00E1521D">
      <w:pPr>
        <w:jc w:val="both"/>
      </w:pPr>
      <w:r w:rsidRPr="00891530">
        <w:t xml:space="preserve">Consulta </w:t>
      </w:r>
      <w:proofErr w:type="spellStart"/>
      <w:proofErr w:type="gramStart"/>
      <w:r w:rsidRPr="00891530">
        <w:t>No.XX</w:t>
      </w:r>
      <w:proofErr w:type="spellEnd"/>
      <w:r w:rsidRPr="00891530">
        <w:t>.</w:t>
      </w:r>
      <w:proofErr w:type="gramEnd"/>
      <w:r w:rsidRPr="00891530">
        <w:t xml:space="preserve"> Ensayo LM-79 y disponibilidad. El ensayo IES LM-79 constituye el método estándar para verificar el desempeño de luminarias completas. No obstante, en la práctica, estos ensayos suelen estar disponibles principalmente para potencias de mayor demanda (≥80 W), mientras que otras configuraciones requieren fabricación y ensayo específico, con plazos de 3 a 6 semanas o más.</w:t>
      </w:r>
    </w:p>
    <w:p w14:paraId="4D3CD201" w14:textId="77777777" w:rsidR="00891530" w:rsidRPr="00891530" w:rsidRDefault="00891530" w:rsidP="00E1521D">
      <w:pPr>
        <w:jc w:val="both"/>
      </w:pPr>
      <w:r w:rsidRPr="00891530">
        <w:t>Se observa que la disponibilidad de certificaciones completas para todas las potencias no resulta consistente con la práctica del mercado, especialmente en potencias de baja demanda (ej. 30 W), debido a los tiempos, costos y procesos involucrados.</w:t>
      </w:r>
    </w:p>
    <w:p w14:paraId="31515DE9" w14:textId="77777777" w:rsidR="00891530" w:rsidRPr="00891530" w:rsidRDefault="00891530" w:rsidP="00E1521D">
      <w:pPr>
        <w:jc w:val="both"/>
      </w:pPr>
      <w:r w:rsidRPr="00891530">
        <w:t>En este contexto, la presentación de ofertas con cumplimiento integral desde la etapa inicial podría generar cuestionamientos por parte de otros oferentes, con el consiguiente riesgo de observaciones o impugnaciones.</w:t>
      </w:r>
    </w:p>
    <w:p w14:paraId="198C7C8D" w14:textId="77777777" w:rsidR="00891530" w:rsidRPr="00891530" w:rsidRDefault="00891530" w:rsidP="00E1521D">
      <w:pPr>
        <w:jc w:val="both"/>
      </w:pPr>
      <w:r w:rsidRPr="00891530">
        <w:t>Adicionalmente, el marco normativo vigente en materia de compras y contrataciones públicas (Ley No. 340-06 y sus modificaciones, así como su reglamento actualizado conforme a la Ley No. 47-25) establece que las especificaciones técnicas deben formularse sin restringir la competencia ni generar ventajas indebidas, promoviendo la igualdad de participación. En ese sentido, requisitos que solo puedan ser cumplidos por un único oferente especifico desde la etapa inicial podrían ser objeto de cuestionamiento bajo estos principios.</w:t>
      </w:r>
    </w:p>
    <w:p w14:paraId="3D92FCF2" w14:textId="77777777" w:rsidR="00891530" w:rsidRPr="00891530" w:rsidRDefault="00891530" w:rsidP="00E1521D">
      <w:pPr>
        <w:jc w:val="both"/>
      </w:pPr>
      <w:r w:rsidRPr="00891530">
        <w:t>Recomendación:</w:t>
      </w:r>
    </w:p>
    <w:p w14:paraId="4AFEB3F1" w14:textId="77777777" w:rsidR="00891530" w:rsidRPr="00891530" w:rsidRDefault="00891530" w:rsidP="00E1521D">
      <w:pPr>
        <w:jc w:val="both"/>
      </w:pPr>
      <w:r w:rsidRPr="00891530">
        <w:t xml:space="preserve">Permitir certificaciones por familias de producto o esquemas equivalentes, conforme a prácticas internacionales, por </w:t>
      </w:r>
      <w:proofErr w:type="gramStart"/>
      <w:r w:rsidRPr="00891530">
        <w:t>ejemplo</w:t>
      </w:r>
      <w:proofErr w:type="gramEnd"/>
      <w:r w:rsidRPr="00891530">
        <w:t xml:space="preserve"> la NOM en México.</w:t>
      </w:r>
    </w:p>
    <w:p w14:paraId="78EAF4CD" w14:textId="77777777" w:rsidR="004844FA" w:rsidRDefault="004844FA" w:rsidP="00E1521D">
      <w:pPr>
        <w:jc w:val="both"/>
        <w:rPr>
          <w:b/>
        </w:rPr>
      </w:pPr>
    </w:p>
    <w:p w14:paraId="284A1133" w14:textId="418726DE" w:rsidR="00891530" w:rsidRPr="00891530" w:rsidRDefault="00891530" w:rsidP="00E1521D">
      <w:pPr>
        <w:jc w:val="both"/>
      </w:pPr>
      <w:r w:rsidRPr="004844FA">
        <w:rPr>
          <w:b/>
        </w:rPr>
        <w:t>Respuesta</w:t>
      </w:r>
      <w:r w:rsidRPr="004844FA">
        <w:t>:</w:t>
      </w:r>
    </w:p>
    <w:p w14:paraId="2B81E4CF" w14:textId="387DB8D6" w:rsidR="008B3086" w:rsidRPr="004844FA" w:rsidRDefault="008B3086" w:rsidP="00E1521D">
      <w:pPr>
        <w:jc w:val="both"/>
        <w:rPr>
          <w:rFonts w:ascii="Cambria" w:hAnsi="Cambria"/>
          <w:color w:val="4EA72E" w:themeColor="accent6"/>
        </w:rPr>
      </w:pPr>
      <w:r w:rsidRPr="004844FA">
        <w:rPr>
          <w:rFonts w:ascii="Cambria" w:hAnsi="Cambria"/>
          <w:color w:val="4EA72E" w:themeColor="accent6"/>
        </w:rPr>
        <w:t xml:space="preserve">Se consideran válidas las normativas internacionales equivalentes a la normativa ANSI que corresponda en cada caso. </w:t>
      </w:r>
    </w:p>
    <w:p w14:paraId="243DBCC7" w14:textId="77777777" w:rsidR="008B3086" w:rsidRPr="00891530" w:rsidRDefault="008B3086" w:rsidP="00E1521D">
      <w:pPr>
        <w:jc w:val="both"/>
      </w:pPr>
    </w:p>
    <w:p w14:paraId="7862EFF1" w14:textId="77777777" w:rsidR="00891530" w:rsidRPr="00891530" w:rsidRDefault="00891530" w:rsidP="00E1521D">
      <w:pPr>
        <w:jc w:val="both"/>
      </w:pPr>
      <w:r w:rsidRPr="00891530">
        <w:t xml:space="preserve">Consulta </w:t>
      </w:r>
      <w:proofErr w:type="spellStart"/>
      <w:proofErr w:type="gramStart"/>
      <w:r w:rsidRPr="00891530">
        <w:t>No.XX</w:t>
      </w:r>
      <w:proofErr w:type="spellEnd"/>
      <w:r w:rsidRPr="00891530">
        <w:t>.</w:t>
      </w:r>
      <w:proofErr w:type="gramEnd"/>
      <w:r w:rsidRPr="00891530">
        <w:t xml:space="preserve"> Tipo de receptáculo para </w:t>
      </w:r>
      <w:proofErr w:type="spellStart"/>
      <w:r w:rsidRPr="00891530">
        <w:t>fotocontrol</w:t>
      </w:r>
      <w:proofErr w:type="spellEnd"/>
      <w:r w:rsidRPr="00891530">
        <w:t>. Se solicita aclarar si el requisito “NEMA” corresponde a alguno de los siguientes estándares:</w:t>
      </w:r>
    </w:p>
    <w:p w14:paraId="069BF674" w14:textId="77777777" w:rsidR="00891530" w:rsidRPr="00891530" w:rsidRDefault="00891530" w:rsidP="00E1521D">
      <w:pPr>
        <w:jc w:val="both"/>
      </w:pPr>
      <w:r w:rsidRPr="00891530">
        <w:t xml:space="preserve">• ANSI C136.10 (3 pines – </w:t>
      </w:r>
      <w:proofErr w:type="spellStart"/>
      <w:r w:rsidRPr="00891530">
        <w:t>fotocontrol</w:t>
      </w:r>
      <w:proofErr w:type="spellEnd"/>
      <w:r w:rsidRPr="00891530">
        <w:t xml:space="preserve"> básico)</w:t>
      </w:r>
    </w:p>
    <w:p w14:paraId="284A6408" w14:textId="77777777" w:rsidR="00891530" w:rsidRPr="00891530" w:rsidRDefault="00891530" w:rsidP="00E1521D">
      <w:pPr>
        <w:jc w:val="both"/>
      </w:pPr>
      <w:r w:rsidRPr="00891530">
        <w:t>• ANSI C136.10 (5 pines – funciones adicionales)</w:t>
      </w:r>
    </w:p>
    <w:p w14:paraId="48EC60F8" w14:textId="77777777" w:rsidR="00891530" w:rsidRPr="00891530" w:rsidRDefault="00891530" w:rsidP="00E1521D">
      <w:pPr>
        <w:jc w:val="both"/>
      </w:pPr>
      <w:r w:rsidRPr="00891530">
        <w:t>• ANSI C136.41 (7 pines – telegestión)</w:t>
      </w:r>
    </w:p>
    <w:p w14:paraId="2F50F0AC" w14:textId="77777777" w:rsidR="00891530" w:rsidRPr="00891530" w:rsidRDefault="00891530" w:rsidP="00E1521D">
      <w:pPr>
        <w:jc w:val="both"/>
      </w:pPr>
      <w:r w:rsidRPr="00891530">
        <w:t xml:space="preserve">Esta definición es crítica, ya que su omisión podría implicar </w:t>
      </w:r>
      <w:proofErr w:type="spellStart"/>
      <w:r w:rsidRPr="00891530">
        <w:t>retrofits</w:t>
      </w:r>
      <w:proofErr w:type="spellEnd"/>
      <w:r w:rsidRPr="00891530">
        <w:t xml:space="preserve"> costosos en el futuro.</w:t>
      </w:r>
    </w:p>
    <w:p w14:paraId="4F2DC383" w14:textId="77777777" w:rsidR="00891530" w:rsidRPr="00891530" w:rsidRDefault="00891530" w:rsidP="00E1521D">
      <w:pPr>
        <w:jc w:val="both"/>
      </w:pPr>
      <w:r w:rsidRPr="00891530">
        <w:t>Recomendación: Especificar ANSI C136.41 (7 pines) para garantizar interoperabilidad futura.</w:t>
      </w:r>
    </w:p>
    <w:p w14:paraId="1142928D" w14:textId="34516D1B" w:rsidR="00891530" w:rsidRDefault="00891530" w:rsidP="00E1521D">
      <w:pPr>
        <w:jc w:val="both"/>
        <w:rPr>
          <w:b/>
          <w:bCs/>
        </w:rPr>
      </w:pPr>
    </w:p>
    <w:p w14:paraId="77DC4A65" w14:textId="77777777" w:rsidR="00204025" w:rsidRPr="00891530" w:rsidRDefault="00204025" w:rsidP="00204025">
      <w:pPr>
        <w:jc w:val="both"/>
        <w:rPr>
          <w:b/>
          <w:bCs/>
        </w:rPr>
      </w:pPr>
      <w:r w:rsidRPr="006F3D9F">
        <w:rPr>
          <w:b/>
          <w:bCs/>
          <w:highlight w:val="green"/>
        </w:rPr>
        <w:lastRenderedPageBreak/>
        <w:t>Respuesta:</w:t>
      </w:r>
    </w:p>
    <w:p w14:paraId="591EF9BA" w14:textId="77777777" w:rsidR="00204025" w:rsidRPr="00D65C20" w:rsidRDefault="00204025" w:rsidP="00204025">
      <w:pPr>
        <w:jc w:val="both"/>
        <w:rPr>
          <w:rFonts w:ascii="Cambria" w:hAnsi="Cambria"/>
          <w:color w:val="275317" w:themeColor="accent6" w:themeShade="80"/>
        </w:rPr>
      </w:pPr>
      <w:r w:rsidRPr="00D65C20">
        <w:rPr>
          <w:rFonts w:ascii="Cambria" w:hAnsi="Cambria"/>
          <w:color w:val="275317" w:themeColor="accent6" w:themeShade="80"/>
        </w:rPr>
        <w:t>Todas las luminarias debe</w:t>
      </w:r>
      <w:r>
        <w:rPr>
          <w:rFonts w:ascii="Cambria" w:hAnsi="Cambria"/>
          <w:color w:val="275317" w:themeColor="accent6" w:themeShade="80"/>
        </w:rPr>
        <w:t>n</w:t>
      </w:r>
      <w:r w:rsidRPr="00D65C20">
        <w:rPr>
          <w:rFonts w:ascii="Cambria" w:hAnsi="Cambria"/>
          <w:color w:val="275317" w:themeColor="accent6" w:themeShade="80"/>
        </w:rPr>
        <w:t xml:space="preserve"> </w:t>
      </w:r>
      <w:r>
        <w:rPr>
          <w:rFonts w:ascii="Cambria" w:hAnsi="Cambria"/>
          <w:color w:val="275317" w:themeColor="accent6" w:themeShade="80"/>
        </w:rPr>
        <w:t>incluir la base para nodo</w:t>
      </w:r>
      <w:r w:rsidRPr="00D65C20">
        <w:rPr>
          <w:rFonts w:ascii="Cambria" w:hAnsi="Cambria"/>
          <w:color w:val="275317" w:themeColor="accent6" w:themeShade="80"/>
        </w:rPr>
        <w:t xml:space="preserve"> NEMA 7 pines</w:t>
      </w:r>
      <w:r>
        <w:rPr>
          <w:rFonts w:ascii="Cambria" w:hAnsi="Cambria"/>
          <w:color w:val="275317" w:themeColor="accent6" w:themeShade="80"/>
        </w:rPr>
        <w:t xml:space="preserve"> y será prevista en los pliegos de condiciones del proceso.</w:t>
      </w:r>
    </w:p>
    <w:p w14:paraId="32D38684" w14:textId="77777777" w:rsidR="00204025" w:rsidRPr="00891530" w:rsidRDefault="00204025" w:rsidP="00E1521D">
      <w:pPr>
        <w:jc w:val="both"/>
        <w:rPr>
          <w:b/>
          <w:bCs/>
        </w:rPr>
      </w:pPr>
    </w:p>
    <w:p w14:paraId="41FCEB5D" w14:textId="77777777" w:rsidR="00891530" w:rsidRPr="00891530" w:rsidRDefault="00891530" w:rsidP="00E1521D">
      <w:pPr>
        <w:jc w:val="both"/>
      </w:pPr>
      <w:r w:rsidRPr="00891530">
        <w:t xml:space="preserve">Consulta </w:t>
      </w:r>
      <w:proofErr w:type="spellStart"/>
      <w:proofErr w:type="gramStart"/>
      <w:r w:rsidRPr="00891530">
        <w:t>No.xx</w:t>
      </w:r>
      <w:proofErr w:type="spellEnd"/>
      <w:r w:rsidRPr="00891530">
        <w:t>.</w:t>
      </w:r>
      <w:proofErr w:type="gramEnd"/>
      <w:r w:rsidRPr="00891530">
        <w:t xml:space="preserve"> Requisito de certificación </w:t>
      </w:r>
      <w:proofErr w:type="spellStart"/>
      <w:r w:rsidRPr="00891530">
        <w:t>DarkSky</w:t>
      </w:r>
      <w:proofErr w:type="spellEnd"/>
      <w:r w:rsidRPr="00891530">
        <w:t xml:space="preserve">. Se observa que la certificación </w:t>
      </w:r>
      <w:proofErr w:type="spellStart"/>
      <w:r w:rsidRPr="00891530">
        <w:t>DarkSky</w:t>
      </w:r>
      <w:proofErr w:type="spellEnd"/>
      <w:r w:rsidRPr="00891530">
        <w:t xml:space="preserve"> se exige para todas las potencias, aun cuando en la práctica suele concentrarse en rangos comerciales específicos.</w:t>
      </w:r>
    </w:p>
    <w:p w14:paraId="1EDE14D8" w14:textId="77777777" w:rsidR="00891530" w:rsidRPr="00891530" w:rsidRDefault="00891530" w:rsidP="00E1521D">
      <w:pPr>
        <w:jc w:val="both"/>
      </w:pPr>
      <w:r w:rsidRPr="00891530">
        <w:t>Adicionalmente, se identifican posibles inconsistencias con otros parámetros:</w:t>
      </w:r>
    </w:p>
    <w:p w14:paraId="48D275F0" w14:textId="77777777" w:rsidR="00891530" w:rsidRPr="00891530" w:rsidRDefault="00891530" w:rsidP="00E1521D">
      <w:pPr>
        <w:jc w:val="both"/>
      </w:pPr>
      <w:r w:rsidRPr="00891530">
        <w:t xml:space="preserve">• ULOR (0–5%) vs. </w:t>
      </w:r>
      <w:proofErr w:type="spellStart"/>
      <w:r w:rsidRPr="00891530">
        <w:t>DarkSky</w:t>
      </w:r>
      <w:proofErr w:type="spellEnd"/>
      <w:r w:rsidRPr="00891530">
        <w:t xml:space="preserve"> (≤0.5%)</w:t>
      </w:r>
    </w:p>
    <w:p w14:paraId="4D035F5D" w14:textId="77777777" w:rsidR="00891530" w:rsidRPr="00891530" w:rsidRDefault="00891530" w:rsidP="00E1521D">
      <w:pPr>
        <w:jc w:val="both"/>
      </w:pPr>
      <w:r w:rsidRPr="00891530">
        <w:t xml:space="preserve">• Inclinación (±20°) vs. criterio </w:t>
      </w:r>
      <w:proofErr w:type="spellStart"/>
      <w:r w:rsidRPr="00891530">
        <w:t>DarkSky</w:t>
      </w:r>
      <w:proofErr w:type="spellEnd"/>
      <w:r w:rsidRPr="00891530">
        <w:t xml:space="preserve"> (0°)</w:t>
      </w:r>
    </w:p>
    <w:p w14:paraId="156E5133" w14:textId="77777777" w:rsidR="00891530" w:rsidRPr="00891530" w:rsidRDefault="00891530" w:rsidP="00E1521D">
      <w:pPr>
        <w:jc w:val="both"/>
      </w:pPr>
      <w:r w:rsidRPr="00891530">
        <w:t>Recomendación:</w:t>
      </w:r>
    </w:p>
    <w:p w14:paraId="442DBFE8" w14:textId="77777777" w:rsidR="00891530" w:rsidRPr="00891530" w:rsidRDefault="00891530" w:rsidP="00E1521D">
      <w:pPr>
        <w:jc w:val="both"/>
      </w:pPr>
      <w:r w:rsidRPr="00891530">
        <w:t>Permitir cumplimiento por parámetros técnicos equivalentes o certificación por familia.</w:t>
      </w:r>
    </w:p>
    <w:p w14:paraId="316DF3EA" w14:textId="77777777" w:rsidR="00204025" w:rsidRDefault="00204025" w:rsidP="00E1521D">
      <w:pPr>
        <w:jc w:val="both"/>
        <w:rPr>
          <w:b/>
          <w:bCs/>
        </w:rPr>
      </w:pPr>
    </w:p>
    <w:p w14:paraId="2A2811D5" w14:textId="06637AE2" w:rsidR="00891530" w:rsidRPr="00891530" w:rsidRDefault="00891530" w:rsidP="00E1521D">
      <w:pPr>
        <w:jc w:val="both"/>
        <w:rPr>
          <w:b/>
          <w:bCs/>
        </w:rPr>
      </w:pPr>
      <w:r w:rsidRPr="00C04A7B">
        <w:rPr>
          <w:b/>
          <w:bCs/>
          <w:highlight w:val="green"/>
        </w:rPr>
        <w:t>Respuesta:</w:t>
      </w:r>
    </w:p>
    <w:p w14:paraId="50A4DDF8" w14:textId="26D0D8B2" w:rsidR="008B3086" w:rsidRDefault="00D9629E" w:rsidP="00E1521D">
      <w:pPr>
        <w:jc w:val="both"/>
        <w:rPr>
          <w:u w:val="single"/>
        </w:rPr>
      </w:pPr>
      <w:r>
        <w:rPr>
          <w:rFonts w:ascii="Cambria" w:hAnsi="Cambria"/>
          <w:color w:val="275317" w:themeColor="accent6" w:themeShade="80"/>
        </w:rPr>
        <w:t xml:space="preserve">No se considera la certificación </w:t>
      </w:r>
      <w:proofErr w:type="spellStart"/>
      <w:r>
        <w:rPr>
          <w:rFonts w:ascii="Cambria" w:hAnsi="Cambria"/>
          <w:color w:val="275317" w:themeColor="accent6" w:themeShade="80"/>
        </w:rPr>
        <w:t>DarkSky</w:t>
      </w:r>
      <w:proofErr w:type="spellEnd"/>
      <w:r>
        <w:rPr>
          <w:rFonts w:ascii="Cambria" w:hAnsi="Cambria"/>
          <w:color w:val="275317" w:themeColor="accent6" w:themeShade="80"/>
        </w:rPr>
        <w:t xml:space="preserve"> como requisito del producto</w:t>
      </w:r>
      <w:r w:rsidR="00C04A7B">
        <w:rPr>
          <w:rFonts w:ascii="Cambria" w:hAnsi="Cambria"/>
          <w:color w:val="275317" w:themeColor="accent6" w:themeShade="80"/>
        </w:rPr>
        <w:t>.</w:t>
      </w:r>
    </w:p>
    <w:p w14:paraId="3A3613A4" w14:textId="77777777" w:rsidR="008B3086" w:rsidRPr="00891530" w:rsidRDefault="008B3086" w:rsidP="00E1521D">
      <w:pPr>
        <w:jc w:val="both"/>
      </w:pPr>
    </w:p>
    <w:p w14:paraId="78888ED4" w14:textId="77777777" w:rsidR="00891530" w:rsidRPr="00891530" w:rsidRDefault="00891530" w:rsidP="00E1521D">
      <w:pPr>
        <w:jc w:val="both"/>
      </w:pPr>
      <w:r w:rsidRPr="00891530">
        <w:t xml:space="preserve">Consulta </w:t>
      </w:r>
      <w:proofErr w:type="spellStart"/>
      <w:proofErr w:type="gramStart"/>
      <w:r w:rsidRPr="00891530">
        <w:t>No.xx</w:t>
      </w:r>
      <w:proofErr w:type="spellEnd"/>
      <w:r w:rsidRPr="00891530">
        <w:t>.</w:t>
      </w:r>
      <w:proofErr w:type="gramEnd"/>
      <w:r w:rsidRPr="00891530">
        <w:t xml:space="preserve"> Observaciones técnicas adicionales. Se identifican oportunidades de mejora en:</w:t>
      </w:r>
    </w:p>
    <w:p w14:paraId="29DC566D" w14:textId="77777777" w:rsidR="00891530" w:rsidRPr="00891530" w:rsidRDefault="00891530" w:rsidP="00E1521D">
      <w:pPr>
        <w:jc w:val="both"/>
      </w:pPr>
      <w:r w:rsidRPr="00891530">
        <w:t>• Clasificación BUG: exigir “≥ G4” implica permitir alto deslumbramiento; se recomienda establecer límites máximos (ej. G ≤ 3).</w:t>
      </w:r>
    </w:p>
    <w:p w14:paraId="04EC4D5F" w14:textId="77777777" w:rsidR="00891530" w:rsidRPr="00891530" w:rsidRDefault="00891530" w:rsidP="00E1521D">
      <w:pPr>
        <w:jc w:val="both"/>
      </w:pPr>
      <w:r w:rsidRPr="009A1331">
        <w:t xml:space="preserve">• Tolerancias operativas: definir rangos (ej. </w:t>
      </w:r>
      <w:r w:rsidRPr="00891530">
        <w:t>±10%)</w:t>
      </w:r>
    </w:p>
    <w:p w14:paraId="7860EAB5" w14:textId="77777777" w:rsidR="00891530" w:rsidRPr="00891530" w:rsidRDefault="00891530" w:rsidP="00E1521D">
      <w:pPr>
        <w:jc w:val="both"/>
      </w:pPr>
      <w:r w:rsidRPr="00891530">
        <w:t>• Garantía: delimitar alcance (driver, LED, SPD, corrosión, etc.)</w:t>
      </w:r>
    </w:p>
    <w:p w14:paraId="246793DA" w14:textId="77777777" w:rsidR="00C04A7B" w:rsidRDefault="00C04A7B" w:rsidP="00E1521D">
      <w:pPr>
        <w:jc w:val="both"/>
        <w:rPr>
          <w:b/>
          <w:bCs/>
        </w:rPr>
      </w:pPr>
    </w:p>
    <w:p w14:paraId="3919209C" w14:textId="3515E7BA" w:rsidR="00891530" w:rsidRPr="00891530" w:rsidRDefault="00891530" w:rsidP="00E1521D">
      <w:pPr>
        <w:jc w:val="both"/>
        <w:rPr>
          <w:b/>
          <w:bCs/>
        </w:rPr>
      </w:pPr>
      <w:r w:rsidRPr="00891530">
        <w:rPr>
          <w:b/>
          <w:bCs/>
        </w:rPr>
        <w:t>Respuesta:</w:t>
      </w:r>
    </w:p>
    <w:p w14:paraId="7992D13C" w14:textId="5AE355C7" w:rsidR="008B3086" w:rsidRPr="00C80BA5" w:rsidRDefault="008B3086" w:rsidP="00E1521D">
      <w:pPr>
        <w:jc w:val="both"/>
        <w:rPr>
          <w:rFonts w:ascii="Cambria" w:hAnsi="Cambria"/>
          <w:color w:val="275317" w:themeColor="accent6" w:themeShade="80"/>
        </w:rPr>
      </w:pPr>
      <w:bookmarkStart w:id="0" w:name="_Hlk227841956"/>
      <w:r w:rsidRPr="00C80BA5">
        <w:rPr>
          <w:rFonts w:ascii="Cambria" w:hAnsi="Cambria"/>
          <w:color w:val="275317" w:themeColor="accent6" w:themeShade="80"/>
        </w:rPr>
        <w:t>Se deberá cumplir como mínimo con los requerimientos establecidos en el pliego</w:t>
      </w:r>
      <w:bookmarkEnd w:id="0"/>
      <w:r w:rsidRPr="00C80BA5">
        <w:rPr>
          <w:rFonts w:ascii="Cambria" w:hAnsi="Cambria"/>
          <w:color w:val="275317" w:themeColor="accent6" w:themeShade="80"/>
        </w:rPr>
        <w:t xml:space="preserve">, </w:t>
      </w:r>
      <w:r>
        <w:rPr>
          <w:rFonts w:ascii="Cambria" w:hAnsi="Cambria"/>
          <w:color w:val="275317" w:themeColor="accent6" w:themeShade="80"/>
        </w:rPr>
        <w:t xml:space="preserve">entendemos que </w:t>
      </w:r>
      <w:r w:rsidRPr="00C80BA5">
        <w:rPr>
          <w:rFonts w:ascii="Cambria" w:hAnsi="Cambria"/>
          <w:color w:val="275317" w:themeColor="accent6" w:themeShade="80"/>
        </w:rPr>
        <w:t>cualquier mejora sobre los aspectos técnicos se valorará positivamente.</w:t>
      </w:r>
      <w:r w:rsidR="000856D5">
        <w:rPr>
          <w:rFonts w:ascii="Cambria" w:hAnsi="Cambria"/>
          <w:color w:val="275317" w:themeColor="accent6" w:themeShade="80"/>
        </w:rPr>
        <w:t xml:space="preserve"> La garantía se aplicará sobre el conjunto completo de la luminaria.</w:t>
      </w:r>
    </w:p>
    <w:p w14:paraId="167C8514" w14:textId="77777777" w:rsidR="00891530" w:rsidRPr="00891530" w:rsidRDefault="00891530" w:rsidP="00E1521D">
      <w:pPr>
        <w:jc w:val="both"/>
      </w:pPr>
    </w:p>
    <w:p w14:paraId="420A13A0" w14:textId="77777777" w:rsidR="00891530" w:rsidRPr="00891530" w:rsidRDefault="00891530" w:rsidP="00E1521D">
      <w:pPr>
        <w:jc w:val="both"/>
      </w:pPr>
      <w:r w:rsidRPr="009A1331">
        <w:rPr>
          <w:lang w:val="pt-PT"/>
        </w:rPr>
        <w:t xml:space="preserve">Consulta No. XX. Consultas Técnicas de Fábrica:  1. </w:t>
      </w:r>
      <w:r w:rsidRPr="00891530">
        <w:t>Diseño fotométrico. Se solicita confirmar:</w:t>
      </w:r>
    </w:p>
    <w:p w14:paraId="179FC648" w14:textId="77777777" w:rsidR="00891530" w:rsidRPr="00891530" w:rsidRDefault="00891530" w:rsidP="00E1521D">
      <w:pPr>
        <w:jc w:val="both"/>
      </w:pPr>
      <w:r w:rsidRPr="00891530">
        <w:t>• Clasificación IES</w:t>
      </w:r>
    </w:p>
    <w:p w14:paraId="678673DF" w14:textId="77777777" w:rsidR="00891530" w:rsidRPr="00891530" w:rsidRDefault="00891530" w:rsidP="00E1521D">
      <w:pPr>
        <w:jc w:val="both"/>
      </w:pPr>
      <w:r w:rsidRPr="00891530">
        <w:t>• Niveles de iluminación</w:t>
      </w:r>
    </w:p>
    <w:p w14:paraId="2C18294D" w14:textId="77777777" w:rsidR="00891530" w:rsidRPr="00891530" w:rsidRDefault="00891530" w:rsidP="00E1521D">
      <w:pPr>
        <w:jc w:val="both"/>
      </w:pPr>
      <w:r w:rsidRPr="00891530">
        <w:t>• Uniformidad</w:t>
      </w:r>
    </w:p>
    <w:p w14:paraId="35F5290B" w14:textId="77777777" w:rsidR="00891530" w:rsidRPr="00891530" w:rsidRDefault="00891530" w:rsidP="00E1521D">
      <w:pPr>
        <w:jc w:val="both"/>
      </w:pPr>
      <w:r w:rsidRPr="00891530">
        <w:t>• Control de deslumbramiento</w:t>
      </w:r>
    </w:p>
    <w:p w14:paraId="19345C12" w14:textId="77777777" w:rsidR="00891530" w:rsidRPr="00891530" w:rsidRDefault="00891530" w:rsidP="00E1521D">
      <w:pPr>
        <w:jc w:val="both"/>
      </w:pPr>
      <w:r w:rsidRPr="00891530">
        <w:t>• Parámetros de diseño (altura, espaciamiento, S/H)</w:t>
      </w:r>
    </w:p>
    <w:p w14:paraId="7423BE7A" w14:textId="77777777" w:rsidR="00C04A7B" w:rsidRDefault="00C04A7B" w:rsidP="00E1521D">
      <w:pPr>
        <w:jc w:val="both"/>
        <w:rPr>
          <w:b/>
          <w:bCs/>
        </w:rPr>
      </w:pPr>
    </w:p>
    <w:p w14:paraId="08BCE68D" w14:textId="349FDE66" w:rsidR="00891530" w:rsidRPr="00891530" w:rsidRDefault="00891530" w:rsidP="00E1521D">
      <w:pPr>
        <w:jc w:val="both"/>
        <w:rPr>
          <w:b/>
          <w:bCs/>
        </w:rPr>
      </w:pPr>
      <w:r w:rsidRPr="00C04A7B">
        <w:rPr>
          <w:b/>
          <w:bCs/>
          <w:highlight w:val="green"/>
        </w:rPr>
        <w:t>Respuesta:</w:t>
      </w:r>
    </w:p>
    <w:p w14:paraId="2FB13FF3" w14:textId="001E2267" w:rsidR="008B3086" w:rsidRPr="00C04A7B" w:rsidRDefault="008B3086" w:rsidP="00E1521D">
      <w:pPr>
        <w:jc w:val="both"/>
        <w:rPr>
          <w:rFonts w:ascii="Cambria" w:hAnsi="Cambria"/>
          <w:color w:val="275317" w:themeColor="accent6" w:themeShade="80"/>
        </w:rPr>
      </w:pPr>
      <w:r>
        <w:rPr>
          <w:rFonts w:ascii="Cambria" w:hAnsi="Cambria"/>
          <w:color w:val="275317" w:themeColor="accent6" w:themeShade="80"/>
        </w:rPr>
        <w:t xml:space="preserve">Se </w:t>
      </w:r>
      <w:r w:rsidR="00C04A7B">
        <w:rPr>
          <w:rFonts w:ascii="Cambria" w:hAnsi="Cambria"/>
          <w:color w:val="275317" w:themeColor="accent6" w:themeShade="80"/>
        </w:rPr>
        <w:t xml:space="preserve">compartirá </w:t>
      </w:r>
      <w:r>
        <w:rPr>
          <w:rFonts w:ascii="Cambria" w:hAnsi="Cambria"/>
          <w:color w:val="275317" w:themeColor="accent6" w:themeShade="80"/>
        </w:rPr>
        <w:t xml:space="preserve">la tabla </w:t>
      </w:r>
      <w:r w:rsidR="00C04A7B">
        <w:rPr>
          <w:rFonts w:ascii="Cambria" w:hAnsi="Cambria"/>
          <w:color w:val="275317" w:themeColor="accent6" w:themeShade="80"/>
        </w:rPr>
        <w:t xml:space="preserve">en Excel conteniendo </w:t>
      </w:r>
      <w:r>
        <w:rPr>
          <w:rFonts w:ascii="Cambria" w:hAnsi="Cambria"/>
          <w:color w:val="275317" w:themeColor="accent6" w:themeShade="80"/>
        </w:rPr>
        <w:t>los modelos lumínicos</w:t>
      </w:r>
      <w:r w:rsidRPr="00C80BA5">
        <w:rPr>
          <w:rFonts w:ascii="Cambria" w:hAnsi="Cambria"/>
          <w:color w:val="275317" w:themeColor="accent6" w:themeShade="80"/>
        </w:rPr>
        <w:t>.</w:t>
      </w:r>
    </w:p>
    <w:p w14:paraId="2B29FAC6" w14:textId="77777777" w:rsidR="008B3086" w:rsidRPr="00891530" w:rsidRDefault="008B3086" w:rsidP="00E1521D">
      <w:pPr>
        <w:jc w:val="both"/>
      </w:pPr>
    </w:p>
    <w:p w14:paraId="657BBC0E" w14:textId="77777777" w:rsidR="00891530" w:rsidRPr="00891530" w:rsidRDefault="00891530" w:rsidP="00E1521D">
      <w:pPr>
        <w:jc w:val="both"/>
      </w:pPr>
      <w:r w:rsidRPr="00891530">
        <w:t>Consulta No. XX. Luminarias con batería integrada. Se solicita confirmar:</w:t>
      </w:r>
    </w:p>
    <w:p w14:paraId="56EA4D3C" w14:textId="77777777" w:rsidR="00891530" w:rsidRPr="00891530" w:rsidRDefault="00891530" w:rsidP="00E1521D">
      <w:pPr>
        <w:jc w:val="both"/>
      </w:pPr>
      <w:r w:rsidRPr="00891530">
        <w:t>• Requisitos diferenciados (batería, BMS, cargador)</w:t>
      </w:r>
    </w:p>
    <w:p w14:paraId="75A1E311" w14:textId="77777777" w:rsidR="00891530" w:rsidRPr="00891530" w:rsidRDefault="00891530" w:rsidP="00E1521D">
      <w:pPr>
        <w:jc w:val="both"/>
      </w:pPr>
      <w:r w:rsidRPr="00891530">
        <w:t>• Especificaciones de batería (voltaje, capacidad, autonomía)</w:t>
      </w:r>
    </w:p>
    <w:p w14:paraId="5589CD9F" w14:textId="77777777" w:rsidR="00C04A7B" w:rsidRDefault="00C04A7B" w:rsidP="00E1521D">
      <w:pPr>
        <w:jc w:val="both"/>
        <w:rPr>
          <w:b/>
          <w:bCs/>
        </w:rPr>
      </w:pPr>
    </w:p>
    <w:p w14:paraId="5E90EF12" w14:textId="1F1A7867" w:rsidR="00891530" w:rsidRPr="00891530" w:rsidRDefault="00891530" w:rsidP="00E1521D">
      <w:pPr>
        <w:jc w:val="both"/>
        <w:rPr>
          <w:b/>
          <w:bCs/>
        </w:rPr>
      </w:pPr>
      <w:r w:rsidRPr="00891530">
        <w:rPr>
          <w:b/>
          <w:bCs/>
        </w:rPr>
        <w:t>Respuesta:</w:t>
      </w:r>
    </w:p>
    <w:p w14:paraId="793074F4" w14:textId="22A21DE9" w:rsidR="00891530" w:rsidRDefault="008B3086" w:rsidP="00E1521D">
      <w:pPr>
        <w:jc w:val="both"/>
      </w:pPr>
      <w:r>
        <w:rPr>
          <w:rFonts w:ascii="Cambria" w:hAnsi="Cambria"/>
          <w:color w:val="275317" w:themeColor="accent6" w:themeShade="80"/>
        </w:rPr>
        <w:t>L</w:t>
      </w:r>
      <w:r w:rsidRPr="00C80BA5">
        <w:rPr>
          <w:rFonts w:ascii="Cambria" w:hAnsi="Cambria"/>
          <w:color w:val="275317" w:themeColor="accent6" w:themeShade="80"/>
        </w:rPr>
        <w:t xml:space="preserve">os requerimientos </w:t>
      </w:r>
      <w:r>
        <w:rPr>
          <w:rFonts w:ascii="Cambria" w:hAnsi="Cambria"/>
          <w:color w:val="275317" w:themeColor="accent6" w:themeShade="80"/>
        </w:rPr>
        <w:t xml:space="preserve">de mínimo cumplimiento son los </w:t>
      </w:r>
      <w:r w:rsidRPr="00C80BA5">
        <w:rPr>
          <w:rFonts w:ascii="Cambria" w:hAnsi="Cambria"/>
          <w:color w:val="275317" w:themeColor="accent6" w:themeShade="80"/>
        </w:rPr>
        <w:t>establecidos en el pliego</w:t>
      </w:r>
      <w:r w:rsidR="00C04A7B">
        <w:rPr>
          <w:rFonts w:ascii="Cambria" w:hAnsi="Cambria"/>
          <w:color w:val="275317" w:themeColor="accent6" w:themeShade="80"/>
        </w:rPr>
        <w:t>.</w:t>
      </w:r>
    </w:p>
    <w:p w14:paraId="5303B8AA" w14:textId="4062429F" w:rsidR="00891530" w:rsidRDefault="00891530" w:rsidP="00E1521D">
      <w:pPr>
        <w:jc w:val="both"/>
      </w:pPr>
    </w:p>
    <w:p w14:paraId="14A29279" w14:textId="3BD9F516" w:rsidR="00C04A7B" w:rsidRDefault="00C04A7B" w:rsidP="00E1521D">
      <w:pPr>
        <w:jc w:val="both"/>
      </w:pPr>
    </w:p>
    <w:p w14:paraId="339C319F" w14:textId="0A28786E" w:rsidR="00C04A7B" w:rsidRDefault="00C04A7B" w:rsidP="00E1521D">
      <w:pPr>
        <w:jc w:val="both"/>
      </w:pPr>
    </w:p>
    <w:p w14:paraId="4DA0DB5E" w14:textId="77777777" w:rsidR="00C04A7B" w:rsidRPr="00891530" w:rsidRDefault="00C04A7B" w:rsidP="00E1521D">
      <w:pPr>
        <w:jc w:val="both"/>
      </w:pPr>
    </w:p>
    <w:p w14:paraId="50D02DB2" w14:textId="77777777" w:rsidR="00891530" w:rsidRPr="00891530" w:rsidRDefault="00891530" w:rsidP="00E1521D">
      <w:pPr>
        <w:jc w:val="both"/>
      </w:pPr>
      <w:r w:rsidRPr="00891530">
        <w:lastRenderedPageBreak/>
        <w:t>Consulta No. XX. Modo de operación de batería. Se solicita definir:</w:t>
      </w:r>
    </w:p>
    <w:p w14:paraId="5D75DAA2" w14:textId="77777777" w:rsidR="00891530" w:rsidRPr="00891530" w:rsidRDefault="00891530" w:rsidP="00E1521D">
      <w:pPr>
        <w:jc w:val="both"/>
      </w:pPr>
      <w:r w:rsidRPr="00891530">
        <w:t>• Tipo de operación</w:t>
      </w:r>
    </w:p>
    <w:p w14:paraId="0D5151F2" w14:textId="77777777" w:rsidR="00891530" w:rsidRPr="00891530" w:rsidRDefault="00891530" w:rsidP="00E1521D">
      <w:pPr>
        <w:jc w:val="both"/>
      </w:pPr>
      <w:r w:rsidRPr="00891530">
        <w:t>• Autonomía</w:t>
      </w:r>
    </w:p>
    <w:p w14:paraId="03C16345" w14:textId="77777777" w:rsidR="00891530" w:rsidRPr="00891530" w:rsidRDefault="00891530" w:rsidP="00E1521D">
      <w:pPr>
        <w:jc w:val="both"/>
      </w:pPr>
      <w:r w:rsidRPr="00891530">
        <w:t>• Potencia en respaldo</w:t>
      </w:r>
    </w:p>
    <w:p w14:paraId="2D0A03F1" w14:textId="77777777" w:rsidR="00891530" w:rsidRPr="00891530" w:rsidRDefault="00891530" w:rsidP="00E1521D">
      <w:pPr>
        <w:jc w:val="both"/>
      </w:pPr>
      <w:r w:rsidRPr="00891530">
        <w:t>• Lógica de control</w:t>
      </w:r>
    </w:p>
    <w:p w14:paraId="7445FF07" w14:textId="77777777" w:rsidR="00891530" w:rsidRPr="00891530" w:rsidRDefault="00891530" w:rsidP="00E1521D">
      <w:pPr>
        <w:jc w:val="both"/>
      </w:pPr>
      <w:r w:rsidRPr="00891530">
        <w:t>• Estrategia de carga</w:t>
      </w:r>
    </w:p>
    <w:p w14:paraId="0E08DABB" w14:textId="77777777" w:rsidR="00C04A7B" w:rsidRDefault="00C04A7B" w:rsidP="00E1521D">
      <w:pPr>
        <w:jc w:val="both"/>
        <w:rPr>
          <w:b/>
          <w:bCs/>
        </w:rPr>
      </w:pPr>
    </w:p>
    <w:p w14:paraId="3C559E83" w14:textId="2F0C82F6" w:rsidR="00891530" w:rsidRPr="00891530" w:rsidRDefault="00891530" w:rsidP="00E1521D">
      <w:pPr>
        <w:jc w:val="both"/>
        <w:rPr>
          <w:b/>
          <w:bCs/>
        </w:rPr>
      </w:pPr>
      <w:r w:rsidRPr="00891530">
        <w:rPr>
          <w:b/>
          <w:bCs/>
        </w:rPr>
        <w:t>Respuesta:</w:t>
      </w:r>
    </w:p>
    <w:p w14:paraId="3BAEE1E1" w14:textId="04BBF6BA" w:rsidR="00891530" w:rsidRPr="008B3086" w:rsidRDefault="008B3086" w:rsidP="00E1521D">
      <w:pPr>
        <w:jc w:val="both"/>
        <w:rPr>
          <w:rFonts w:ascii="Cambria" w:hAnsi="Cambria"/>
          <w:color w:val="275317" w:themeColor="accent6" w:themeShade="80"/>
        </w:rPr>
      </w:pPr>
      <w:r w:rsidRPr="008B3086">
        <w:rPr>
          <w:rFonts w:ascii="Cambria" w:hAnsi="Cambria"/>
          <w:color w:val="275317" w:themeColor="accent6" w:themeShade="80"/>
        </w:rPr>
        <w:t>No se exige ningún requerimiento de autonomía. Las luminarias con baterías de emergencias cumplirán la función de proporcionar el servicio mínimo de alumbrado frente a cortes del suministro eléctrico. Es por ello que se configuraran para proporcionar el mayor número de horas de autonomía, dependiendo de la potencia de las luminarias y el régimen de funcionamiento de la misma</w:t>
      </w:r>
      <w:r w:rsidR="00C04A7B">
        <w:rPr>
          <w:rFonts w:ascii="Cambria" w:hAnsi="Cambria"/>
          <w:color w:val="275317" w:themeColor="accent6" w:themeShade="80"/>
        </w:rPr>
        <w:t>.</w:t>
      </w:r>
    </w:p>
    <w:p w14:paraId="16BED9F8" w14:textId="32BCBBF0" w:rsidR="008B3086" w:rsidRDefault="008B3086" w:rsidP="00E1521D">
      <w:pPr>
        <w:jc w:val="both"/>
      </w:pPr>
    </w:p>
    <w:p w14:paraId="0D82AC8C" w14:textId="77777777" w:rsidR="008B3086" w:rsidRPr="00891530" w:rsidRDefault="008B3086" w:rsidP="00E1521D">
      <w:pPr>
        <w:jc w:val="both"/>
      </w:pPr>
    </w:p>
    <w:p w14:paraId="3F1C49DB" w14:textId="77777777" w:rsidR="00891530" w:rsidRPr="00891530" w:rsidRDefault="00891530" w:rsidP="00E1521D">
      <w:pPr>
        <w:jc w:val="both"/>
      </w:pPr>
    </w:p>
    <w:p w14:paraId="3B4A3D96" w14:textId="77777777" w:rsidR="00891530" w:rsidRPr="00634CB6" w:rsidRDefault="00891530" w:rsidP="00E1521D">
      <w:pPr>
        <w:jc w:val="both"/>
        <w:rPr>
          <w:highlight w:val="red"/>
        </w:rPr>
      </w:pPr>
      <w:r w:rsidRPr="00634CB6">
        <w:rPr>
          <w:highlight w:val="red"/>
        </w:rPr>
        <w:t xml:space="preserve">Consulta No. XX. Vigencia tecnológica de componentes LED. En relación con la sostenibilidad técnica, mantenibilidad y continuidad operativa del sistema de alumbrado público durante su vida útil, se solicita confirmar si los componentes críticos de las luminarias —en particular los módulos LED— deberán encontrarse en condición de producción activa (“Active </w:t>
      </w:r>
      <w:proofErr w:type="spellStart"/>
      <w:r w:rsidRPr="00634CB6">
        <w:rPr>
          <w:highlight w:val="red"/>
        </w:rPr>
        <w:t>Product</w:t>
      </w:r>
      <w:proofErr w:type="spellEnd"/>
      <w:r w:rsidRPr="00634CB6">
        <w:rPr>
          <w:highlight w:val="red"/>
        </w:rPr>
        <w:t xml:space="preserve"> </w:t>
      </w:r>
      <w:proofErr w:type="spellStart"/>
      <w:r w:rsidRPr="00634CB6">
        <w:rPr>
          <w:highlight w:val="red"/>
        </w:rPr>
        <w:t>Lifecycle</w:t>
      </w:r>
      <w:proofErr w:type="spellEnd"/>
      <w:r w:rsidRPr="00634CB6">
        <w:rPr>
          <w:highlight w:val="red"/>
        </w:rPr>
        <w:t>”) por parte de su fabricante al momento de la oferta.</w:t>
      </w:r>
    </w:p>
    <w:p w14:paraId="2A2973F8" w14:textId="77777777" w:rsidR="00891530" w:rsidRPr="00634CB6" w:rsidRDefault="00891530" w:rsidP="00E1521D">
      <w:pPr>
        <w:jc w:val="both"/>
        <w:rPr>
          <w:highlight w:val="red"/>
        </w:rPr>
      </w:pPr>
      <w:r w:rsidRPr="00634CB6">
        <w:rPr>
          <w:highlight w:val="red"/>
        </w:rPr>
        <w:t xml:space="preserve">En este sentido, se agradecería confirmar si serán consideradas no admisibles luminarias que incorporen </w:t>
      </w:r>
      <w:proofErr w:type="spellStart"/>
      <w:r w:rsidRPr="00634CB6">
        <w:rPr>
          <w:highlight w:val="red"/>
        </w:rPr>
        <w:t>LEDs</w:t>
      </w:r>
      <w:proofErr w:type="spellEnd"/>
      <w:r w:rsidRPr="00634CB6">
        <w:rPr>
          <w:highlight w:val="red"/>
        </w:rPr>
        <w:t xml:space="preserve"> clasificados como </w:t>
      </w:r>
      <w:proofErr w:type="spellStart"/>
      <w:r w:rsidRPr="00634CB6">
        <w:rPr>
          <w:highlight w:val="red"/>
        </w:rPr>
        <w:t>End</w:t>
      </w:r>
      <w:proofErr w:type="spellEnd"/>
      <w:r w:rsidRPr="00634CB6">
        <w:rPr>
          <w:highlight w:val="red"/>
        </w:rPr>
        <w:t xml:space="preserve"> </w:t>
      </w:r>
      <w:proofErr w:type="spellStart"/>
      <w:r w:rsidRPr="00634CB6">
        <w:rPr>
          <w:highlight w:val="red"/>
        </w:rPr>
        <w:t>of</w:t>
      </w:r>
      <w:proofErr w:type="spellEnd"/>
      <w:r w:rsidRPr="00634CB6">
        <w:rPr>
          <w:highlight w:val="red"/>
        </w:rPr>
        <w:t xml:space="preserve"> </w:t>
      </w:r>
      <w:proofErr w:type="spellStart"/>
      <w:r w:rsidRPr="00634CB6">
        <w:rPr>
          <w:highlight w:val="red"/>
        </w:rPr>
        <w:t>Life</w:t>
      </w:r>
      <w:proofErr w:type="spellEnd"/>
      <w:r w:rsidRPr="00634CB6">
        <w:rPr>
          <w:highlight w:val="red"/>
        </w:rPr>
        <w:t xml:space="preserve"> (EOL), Obsolete, </w:t>
      </w:r>
      <w:proofErr w:type="spellStart"/>
      <w:r w:rsidRPr="00634CB6">
        <w:rPr>
          <w:highlight w:val="red"/>
        </w:rPr>
        <w:t>Not</w:t>
      </w:r>
      <w:proofErr w:type="spellEnd"/>
      <w:r w:rsidRPr="00634CB6">
        <w:rPr>
          <w:highlight w:val="red"/>
        </w:rPr>
        <w:t xml:space="preserve"> </w:t>
      </w:r>
      <w:proofErr w:type="spellStart"/>
      <w:r w:rsidRPr="00634CB6">
        <w:rPr>
          <w:highlight w:val="red"/>
        </w:rPr>
        <w:t>Recommended</w:t>
      </w:r>
      <w:proofErr w:type="spellEnd"/>
      <w:r w:rsidRPr="00634CB6">
        <w:rPr>
          <w:highlight w:val="red"/>
        </w:rPr>
        <w:t xml:space="preserve"> </w:t>
      </w:r>
      <w:proofErr w:type="spellStart"/>
      <w:r w:rsidRPr="00634CB6">
        <w:rPr>
          <w:highlight w:val="red"/>
        </w:rPr>
        <w:t>for</w:t>
      </w:r>
      <w:proofErr w:type="spellEnd"/>
      <w:r w:rsidRPr="00634CB6">
        <w:rPr>
          <w:highlight w:val="red"/>
        </w:rPr>
        <w:t xml:space="preserve"> New </w:t>
      </w:r>
      <w:proofErr w:type="spellStart"/>
      <w:r w:rsidRPr="00634CB6">
        <w:rPr>
          <w:highlight w:val="red"/>
        </w:rPr>
        <w:t>Designs</w:t>
      </w:r>
      <w:proofErr w:type="spellEnd"/>
      <w:r w:rsidRPr="00634CB6">
        <w:rPr>
          <w:highlight w:val="red"/>
        </w:rPr>
        <w:t xml:space="preserve"> (NRND), </w:t>
      </w:r>
      <w:proofErr w:type="spellStart"/>
      <w:r w:rsidRPr="00634CB6">
        <w:rPr>
          <w:highlight w:val="red"/>
        </w:rPr>
        <w:t>Discontinued</w:t>
      </w:r>
      <w:proofErr w:type="spellEnd"/>
      <w:r w:rsidRPr="00634CB6">
        <w:rPr>
          <w:highlight w:val="red"/>
        </w:rPr>
        <w:t xml:space="preserve"> o equivalentes. Sin soporte de repuestos.</w:t>
      </w:r>
    </w:p>
    <w:p w14:paraId="1352A7B8" w14:textId="2938C219" w:rsidR="00891530" w:rsidRPr="00634CB6" w:rsidRDefault="00891530" w:rsidP="00E1521D">
      <w:pPr>
        <w:jc w:val="both"/>
        <w:rPr>
          <w:b/>
          <w:bCs/>
          <w:highlight w:val="red"/>
        </w:rPr>
      </w:pPr>
      <w:r w:rsidRPr="00634CB6">
        <w:rPr>
          <w:b/>
          <w:bCs/>
          <w:highlight w:val="red"/>
        </w:rPr>
        <w:t xml:space="preserve">Respuesta: </w:t>
      </w:r>
      <w:r w:rsidR="00D077CA" w:rsidRPr="00634CB6">
        <w:rPr>
          <w:b/>
          <w:bCs/>
          <w:highlight w:val="red"/>
        </w:rPr>
        <w:t>Revisar por Peter</w:t>
      </w:r>
      <w:r w:rsidR="00ED1D18" w:rsidRPr="00634CB6">
        <w:rPr>
          <w:b/>
          <w:bCs/>
          <w:highlight w:val="red"/>
        </w:rPr>
        <w:t>, se deberá acreditar q</w:t>
      </w:r>
      <w:r w:rsidR="0032317E" w:rsidRPr="00634CB6">
        <w:rPr>
          <w:b/>
          <w:bCs/>
          <w:highlight w:val="red"/>
        </w:rPr>
        <w:t>u</w:t>
      </w:r>
      <w:r w:rsidR="00ED1D18" w:rsidRPr="00634CB6">
        <w:rPr>
          <w:b/>
          <w:bCs/>
          <w:highlight w:val="red"/>
        </w:rPr>
        <w:t>e los leds utilizados no están clasificados como EOL o NRND</w:t>
      </w:r>
      <w:r w:rsidR="006F376C" w:rsidRPr="00634CB6">
        <w:rPr>
          <w:b/>
          <w:bCs/>
          <w:highlight w:val="red"/>
        </w:rPr>
        <w:t xml:space="preserve"> por parte del fabricante.</w:t>
      </w:r>
    </w:p>
    <w:p w14:paraId="64F90147" w14:textId="77777777" w:rsidR="00891530" w:rsidRPr="00634CB6" w:rsidRDefault="00891530" w:rsidP="00E1521D">
      <w:pPr>
        <w:jc w:val="both"/>
        <w:rPr>
          <w:highlight w:val="red"/>
        </w:rPr>
      </w:pPr>
    </w:p>
    <w:p w14:paraId="3FB2ECEA" w14:textId="77777777" w:rsidR="00891530" w:rsidRPr="00634CB6" w:rsidRDefault="00891530" w:rsidP="00E1521D">
      <w:pPr>
        <w:jc w:val="both"/>
        <w:rPr>
          <w:highlight w:val="red"/>
        </w:rPr>
      </w:pPr>
    </w:p>
    <w:p w14:paraId="4E37AAF8" w14:textId="77777777" w:rsidR="00891530" w:rsidRPr="00634CB6" w:rsidRDefault="00891530" w:rsidP="00E1521D">
      <w:pPr>
        <w:jc w:val="both"/>
        <w:rPr>
          <w:highlight w:val="red"/>
        </w:rPr>
      </w:pPr>
      <w:r w:rsidRPr="00634CB6">
        <w:rPr>
          <w:highlight w:val="red"/>
        </w:rPr>
        <w:t>Consulta No. xx. Se solicita indicar si será requerido como parte de la oferta:</w:t>
      </w:r>
    </w:p>
    <w:p w14:paraId="48A6BD64" w14:textId="77777777" w:rsidR="00891530" w:rsidRPr="00634CB6" w:rsidRDefault="00891530" w:rsidP="00E1521D">
      <w:pPr>
        <w:jc w:val="both"/>
        <w:rPr>
          <w:highlight w:val="red"/>
        </w:rPr>
      </w:pPr>
      <w:r w:rsidRPr="00634CB6">
        <w:rPr>
          <w:highlight w:val="red"/>
        </w:rPr>
        <w:t>* Certificación del fabricante del LED o luminaria indicando estado de ciclo de vida del componente</w:t>
      </w:r>
    </w:p>
    <w:p w14:paraId="3FBC823D" w14:textId="77777777" w:rsidR="00891530" w:rsidRPr="00634CB6" w:rsidRDefault="00891530" w:rsidP="00E1521D">
      <w:pPr>
        <w:jc w:val="both"/>
        <w:rPr>
          <w:highlight w:val="red"/>
        </w:rPr>
      </w:pPr>
      <w:r w:rsidRPr="00634CB6">
        <w:rPr>
          <w:highlight w:val="red"/>
        </w:rPr>
        <w:t>* Identificación del modelo específico de LED utilizado</w:t>
      </w:r>
    </w:p>
    <w:p w14:paraId="3DDD40FE" w14:textId="77777777" w:rsidR="00891530" w:rsidRPr="00634CB6" w:rsidRDefault="00891530" w:rsidP="00E1521D">
      <w:pPr>
        <w:jc w:val="both"/>
        <w:rPr>
          <w:highlight w:val="red"/>
        </w:rPr>
      </w:pPr>
      <w:r w:rsidRPr="00634CB6">
        <w:rPr>
          <w:highlight w:val="red"/>
        </w:rPr>
        <w:t>* Documentación técnica verificable (</w:t>
      </w:r>
      <w:proofErr w:type="spellStart"/>
      <w:r w:rsidRPr="00634CB6">
        <w:rPr>
          <w:highlight w:val="red"/>
        </w:rPr>
        <w:t>datasheets</w:t>
      </w:r>
      <w:proofErr w:type="spellEnd"/>
      <w:r w:rsidRPr="00634CB6">
        <w:rPr>
          <w:highlight w:val="red"/>
        </w:rPr>
        <w:t xml:space="preserve">, </w:t>
      </w:r>
      <w:proofErr w:type="spellStart"/>
      <w:r w:rsidRPr="00634CB6">
        <w:rPr>
          <w:highlight w:val="red"/>
        </w:rPr>
        <w:t>lifecycle</w:t>
      </w:r>
      <w:proofErr w:type="spellEnd"/>
      <w:r w:rsidRPr="00634CB6">
        <w:rPr>
          <w:highlight w:val="red"/>
        </w:rPr>
        <w:t xml:space="preserve"> status, PCN o equivalente)</w:t>
      </w:r>
    </w:p>
    <w:p w14:paraId="6C131A26" w14:textId="77777777" w:rsidR="00891530" w:rsidRPr="00634CB6" w:rsidRDefault="00891530" w:rsidP="00E1521D">
      <w:pPr>
        <w:jc w:val="both"/>
        <w:rPr>
          <w:highlight w:val="red"/>
        </w:rPr>
      </w:pPr>
      <w:r w:rsidRPr="00634CB6">
        <w:rPr>
          <w:highlight w:val="red"/>
        </w:rPr>
        <w:t>Lo anterior, considerando que existen antecedentes verificables donde fabricantes luminarias de renombre han incorporado LEDs posteriormente clasificados como obsoletos o fuera de línea, lo cual introduce riesgos relevantes en la disponibilidad de repuestos, continuidad de suministro y mantenibilidad del sistema, con potencial impacto económico asociado a reemplazos anticipados y mayores costos operativos.</w:t>
      </w:r>
    </w:p>
    <w:p w14:paraId="33DF27C1" w14:textId="77777777" w:rsidR="00891530" w:rsidRPr="00634CB6" w:rsidRDefault="00891530" w:rsidP="00E1521D">
      <w:pPr>
        <w:jc w:val="both"/>
        <w:rPr>
          <w:highlight w:val="red"/>
        </w:rPr>
      </w:pPr>
      <w:r w:rsidRPr="00634CB6">
        <w:rPr>
          <w:highlight w:val="red"/>
        </w:rPr>
        <w:t xml:space="preserve">Como referencia, el modelo </w:t>
      </w:r>
      <w:proofErr w:type="spellStart"/>
      <w:r w:rsidRPr="00634CB6">
        <w:rPr>
          <w:highlight w:val="red"/>
        </w:rPr>
        <w:t>Lumileds</w:t>
      </w:r>
      <w:proofErr w:type="spellEnd"/>
      <w:r w:rsidRPr="00634CB6">
        <w:rPr>
          <w:highlight w:val="red"/>
        </w:rPr>
        <w:t xml:space="preserve"> LUXEON T (LXH7-FW40) ha sido catalogado como “No </w:t>
      </w:r>
      <w:proofErr w:type="spellStart"/>
      <w:r w:rsidRPr="00634CB6">
        <w:rPr>
          <w:highlight w:val="red"/>
        </w:rPr>
        <w:t>Longer</w:t>
      </w:r>
      <w:proofErr w:type="spellEnd"/>
      <w:r w:rsidRPr="00634CB6">
        <w:rPr>
          <w:highlight w:val="red"/>
        </w:rPr>
        <w:t xml:space="preserve"> </w:t>
      </w:r>
      <w:proofErr w:type="spellStart"/>
      <w:r w:rsidRPr="00634CB6">
        <w:rPr>
          <w:highlight w:val="red"/>
        </w:rPr>
        <w:t>Orderable</w:t>
      </w:r>
      <w:proofErr w:type="spellEnd"/>
      <w:r w:rsidRPr="00634CB6">
        <w:rPr>
          <w:highlight w:val="red"/>
        </w:rPr>
        <w:t>”, verificable en:</w:t>
      </w:r>
    </w:p>
    <w:p w14:paraId="1304EC03" w14:textId="77777777" w:rsidR="00891530" w:rsidRPr="00634CB6" w:rsidRDefault="008356E0" w:rsidP="00E1521D">
      <w:pPr>
        <w:jc w:val="both"/>
        <w:rPr>
          <w:highlight w:val="red"/>
        </w:rPr>
      </w:pPr>
      <w:hyperlink r:id="rId15" w:tooltip="https://www.digikey.com/en/products/detail/lumileds/LXH7-PW40/3961232" w:history="1">
        <w:r w:rsidR="00891530" w:rsidRPr="00634CB6">
          <w:rPr>
            <w:rStyle w:val="Hipervnculo"/>
            <w:highlight w:val="red"/>
          </w:rPr>
          <w:t>https://www.digikey.com/en/products/detail/lumileds/LXH7-PW40/3961232</w:t>
        </w:r>
      </w:hyperlink>
    </w:p>
    <w:p w14:paraId="3EDEDAD9" w14:textId="77777777" w:rsidR="00891530" w:rsidRPr="00634CB6" w:rsidRDefault="00891530" w:rsidP="00E1521D">
      <w:pPr>
        <w:jc w:val="both"/>
        <w:rPr>
          <w:highlight w:val="red"/>
        </w:rPr>
      </w:pPr>
      <w:r w:rsidRPr="00634CB6">
        <w:rPr>
          <w:highlight w:val="red"/>
        </w:rPr>
        <w:t>Se plantea esta consulta con el objetivo de asegurar la vigencia tecnológica de las soluciones ofertadas y su alineación con buenas prácticas internacionales en procesos de Licitación Pública Internacional (LPI).</w:t>
      </w:r>
    </w:p>
    <w:p w14:paraId="067E93AC" w14:textId="35E05BCE" w:rsidR="00891530" w:rsidRPr="00891530" w:rsidRDefault="00891530" w:rsidP="00E1521D">
      <w:pPr>
        <w:jc w:val="both"/>
        <w:rPr>
          <w:b/>
          <w:bCs/>
        </w:rPr>
      </w:pPr>
      <w:r w:rsidRPr="00634CB6">
        <w:rPr>
          <w:b/>
          <w:bCs/>
          <w:highlight w:val="red"/>
        </w:rPr>
        <w:t>Respuesta:</w:t>
      </w:r>
      <w:r w:rsidR="00FD4B85" w:rsidRPr="00634CB6">
        <w:rPr>
          <w:b/>
          <w:bCs/>
          <w:highlight w:val="red"/>
        </w:rPr>
        <w:t xml:space="preserve"> se deberá acreditar que los leds utilizados no están clasificados como EOL o NRND por parte del fabricante.</w:t>
      </w:r>
    </w:p>
    <w:p w14:paraId="40F3E2FC" w14:textId="77777777" w:rsidR="00891530" w:rsidRPr="00891530" w:rsidRDefault="00891530" w:rsidP="00E1521D">
      <w:pPr>
        <w:jc w:val="both"/>
      </w:pPr>
    </w:p>
    <w:p w14:paraId="6757AB8C" w14:textId="77777777" w:rsidR="00891530" w:rsidRPr="00891530" w:rsidRDefault="00891530" w:rsidP="00E1521D">
      <w:pPr>
        <w:jc w:val="both"/>
      </w:pPr>
    </w:p>
    <w:p w14:paraId="295CF712" w14:textId="77777777" w:rsidR="00891530" w:rsidRPr="00891530" w:rsidRDefault="00891530" w:rsidP="00E1521D">
      <w:pPr>
        <w:jc w:val="both"/>
      </w:pPr>
      <w:r w:rsidRPr="00891530">
        <w:lastRenderedPageBreak/>
        <w:t>Consulta No. xx. Sistema de puesta a tierra y coordinación con SPD. Se observa ausencia de definición clara de criterios de puesta a tierra.</w:t>
      </w:r>
    </w:p>
    <w:p w14:paraId="6E7F45E1" w14:textId="77777777" w:rsidR="00891530" w:rsidRPr="00891530" w:rsidRDefault="00891530" w:rsidP="00E1521D">
      <w:pPr>
        <w:jc w:val="both"/>
      </w:pPr>
      <w:r w:rsidRPr="00891530">
        <w:t>Se solicita confirmar:</w:t>
      </w:r>
    </w:p>
    <w:p w14:paraId="23A8A880" w14:textId="77777777" w:rsidR="00891530" w:rsidRPr="00891530" w:rsidRDefault="00891530" w:rsidP="00E1521D">
      <w:pPr>
        <w:jc w:val="both"/>
      </w:pPr>
      <w:r w:rsidRPr="00891530">
        <w:t>• Esquema de conexión (TT, TN, etc.)</w:t>
      </w:r>
    </w:p>
    <w:p w14:paraId="1854EF60" w14:textId="77777777" w:rsidR="00891530" w:rsidRPr="00891530" w:rsidRDefault="00891530" w:rsidP="00E1521D">
      <w:pPr>
        <w:jc w:val="both"/>
      </w:pPr>
      <w:r w:rsidRPr="00891530">
        <w:t>• Valor máximo de resistencia</w:t>
      </w:r>
    </w:p>
    <w:p w14:paraId="0D6FE42F" w14:textId="77777777" w:rsidR="00891530" w:rsidRPr="00891530" w:rsidRDefault="00891530" w:rsidP="00E1521D">
      <w:pPr>
        <w:jc w:val="both"/>
      </w:pPr>
      <w:r w:rsidRPr="00891530">
        <w:t>• Alcance de responsabilidad</w:t>
      </w:r>
    </w:p>
    <w:p w14:paraId="18919C4B" w14:textId="77777777" w:rsidR="00891530" w:rsidRPr="00891530" w:rsidRDefault="00891530" w:rsidP="00E1521D">
      <w:pPr>
        <w:jc w:val="both"/>
      </w:pPr>
      <w:r w:rsidRPr="00891530">
        <w:t>• Metodología de medición</w:t>
      </w:r>
    </w:p>
    <w:p w14:paraId="2525AC16" w14:textId="77777777" w:rsidR="00891530" w:rsidRPr="00891530" w:rsidRDefault="00891530" w:rsidP="00E1521D">
      <w:pPr>
        <w:jc w:val="both"/>
      </w:pPr>
      <w:r w:rsidRPr="00891530">
        <w:t>Se destaca que la correcta operación de los SPD depende de un sistema de puesta a tierra efectivo, impactando directamente la protección, vida útil y garantía del sistema.</w:t>
      </w:r>
    </w:p>
    <w:p w14:paraId="060C5CCF" w14:textId="77777777" w:rsidR="00C04A7B" w:rsidRDefault="00C04A7B" w:rsidP="00E1521D">
      <w:pPr>
        <w:jc w:val="both"/>
        <w:rPr>
          <w:b/>
          <w:bCs/>
        </w:rPr>
      </w:pPr>
    </w:p>
    <w:p w14:paraId="31477C5E" w14:textId="39F4F94A" w:rsidR="00891530" w:rsidRPr="00891530" w:rsidRDefault="00891530" w:rsidP="00E1521D">
      <w:pPr>
        <w:jc w:val="both"/>
        <w:rPr>
          <w:b/>
          <w:bCs/>
        </w:rPr>
      </w:pPr>
      <w:r w:rsidRPr="00C04A7B">
        <w:rPr>
          <w:b/>
          <w:bCs/>
          <w:highlight w:val="green"/>
        </w:rPr>
        <w:t>Respuesta:</w:t>
      </w:r>
    </w:p>
    <w:p w14:paraId="1E7AFAB7" w14:textId="23512B45" w:rsidR="00891530" w:rsidRPr="008B3086" w:rsidRDefault="001A334D" w:rsidP="00E1521D">
      <w:pPr>
        <w:jc w:val="both"/>
        <w:rPr>
          <w:rFonts w:ascii="Cambria" w:hAnsi="Cambria"/>
          <w:color w:val="275317" w:themeColor="accent6" w:themeShade="80"/>
        </w:rPr>
      </w:pPr>
      <w:r w:rsidRPr="00C04A7B">
        <w:rPr>
          <w:rFonts w:ascii="Cambria" w:hAnsi="Cambria"/>
          <w:color w:val="275317" w:themeColor="accent6" w:themeShade="80"/>
        </w:rPr>
        <w:t>Es necesario que las luminarias sean de Clase II</w:t>
      </w:r>
      <w:r w:rsidR="00C04A7B" w:rsidRPr="00C04A7B">
        <w:rPr>
          <w:rFonts w:ascii="Cambria" w:hAnsi="Cambria"/>
          <w:color w:val="275317" w:themeColor="accent6" w:themeShade="80"/>
        </w:rPr>
        <w:t>.</w:t>
      </w:r>
    </w:p>
    <w:p w14:paraId="6EF10CC7" w14:textId="77777777" w:rsidR="00891530" w:rsidRPr="00891530" w:rsidRDefault="00891530" w:rsidP="00E1521D">
      <w:pPr>
        <w:jc w:val="both"/>
      </w:pPr>
    </w:p>
    <w:p w14:paraId="30842761" w14:textId="77777777" w:rsidR="00891530" w:rsidRPr="00891530" w:rsidRDefault="00891530" w:rsidP="00E1521D">
      <w:pPr>
        <w:jc w:val="both"/>
      </w:pPr>
      <w:r w:rsidRPr="00891530">
        <w:t xml:space="preserve">Consulta No. xx. La experiencia específica requerida al oferente/proponente, superior a 250.000 puntos, se considera desproporcionada, teniendo en cuenta que los proponentes pueden participar por uno de los lotes definidos en los pliegos, siendo el de mayor alcance cercano a 68.000 luminarias. En este sentido, sugerimos ajustar este requisito de manera proporcional a la magnitud de cada lote. </w:t>
      </w:r>
    </w:p>
    <w:p w14:paraId="296DDB33" w14:textId="77777777" w:rsidR="00C04A7B" w:rsidRDefault="00C04A7B" w:rsidP="00E1521D">
      <w:pPr>
        <w:jc w:val="both"/>
        <w:rPr>
          <w:b/>
          <w:bCs/>
        </w:rPr>
      </w:pPr>
    </w:p>
    <w:p w14:paraId="58E77C18" w14:textId="48DB8AEF" w:rsidR="00891530" w:rsidRPr="00891530" w:rsidRDefault="00891530" w:rsidP="00E1521D">
      <w:pPr>
        <w:jc w:val="both"/>
        <w:rPr>
          <w:b/>
          <w:bCs/>
        </w:rPr>
      </w:pPr>
      <w:r w:rsidRPr="00C04A7B">
        <w:rPr>
          <w:b/>
          <w:bCs/>
          <w:highlight w:val="green"/>
        </w:rPr>
        <w:t>Respuesta:</w:t>
      </w:r>
    </w:p>
    <w:p w14:paraId="439085FA" w14:textId="7BF5C723" w:rsidR="00891530" w:rsidRPr="00E8435F" w:rsidRDefault="00EF71BC" w:rsidP="00E1521D">
      <w:pPr>
        <w:jc w:val="both"/>
        <w:rPr>
          <w:rFonts w:ascii="Cambria" w:hAnsi="Cambria"/>
          <w:color w:val="275317" w:themeColor="accent6" w:themeShade="80"/>
        </w:rPr>
      </w:pPr>
      <w:r>
        <w:rPr>
          <w:rFonts w:ascii="Cambria" w:hAnsi="Cambria"/>
          <w:color w:val="275317" w:themeColor="accent6" w:themeShade="80"/>
        </w:rPr>
        <w:t>Se exige el número de luminaria correspondiente a cada lote.</w:t>
      </w:r>
    </w:p>
    <w:p w14:paraId="1A7098D2" w14:textId="77777777" w:rsidR="00891530" w:rsidRPr="00891530" w:rsidRDefault="00891530" w:rsidP="00E1521D">
      <w:pPr>
        <w:jc w:val="both"/>
      </w:pPr>
    </w:p>
    <w:p w14:paraId="6CA37153" w14:textId="77777777" w:rsidR="00891530" w:rsidRPr="00891530" w:rsidRDefault="00891530" w:rsidP="00E1521D">
      <w:pPr>
        <w:jc w:val="both"/>
      </w:pPr>
      <w:r w:rsidRPr="00891530">
        <w:t xml:space="preserve">Consulta No. xx. Para la adecuada estructuración de un proyecto de modernización de alumbrado público, es indispensable contar con los perfiles viales, en los cuales se definan parámetros como niveles de iluminancia, luminancia, uniformidad general, longitudinal y control de deslumbramiento, de acuerdo con la clasificación de cada vía. Esta información permite a los oferentes proponer soluciones tecnológicas eficientes, optimizando el consumo energético y la productividad del proyecto. Por lo anterior, solicitamos al Ministerio suministrar los perfiles tipo de las vías para cada lote, con el fin de estructurar propuestas técnicas más precisas. </w:t>
      </w:r>
    </w:p>
    <w:p w14:paraId="032E1305" w14:textId="77777777" w:rsidR="00C04A7B" w:rsidRDefault="00C04A7B" w:rsidP="00E1521D">
      <w:pPr>
        <w:jc w:val="both"/>
        <w:rPr>
          <w:b/>
          <w:bCs/>
        </w:rPr>
      </w:pPr>
    </w:p>
    <w:p w14:paraId="553F7077" w14:textId="6BA06420" w:rsidR="00891530" w:rsidRPr="00891530" w:rsidRDefault="00891530" w:rsidP="00E1521D">
      <w:pPr>
        <w:jc w:val="both"/>
        <w:rPr>
          <w:b/>
          <w:bCs/>
        </w:rPr>
      </w:pPr>
      <w:r w:rsidRPr="00891530">
        <w:rPr>
          <w:b/>
          <w:bCs/>
        </w:rPr>
        <w:t>Respuesta:</w:t>
      </w:r>
    </w:p>
    <w:p w14:paraId="4B34B45B" w14:textId="278E7CD3" w:rsidR="00E8435F" w:rsidRPr="00C80BA5" w:rsidRDefault="00E8435F" w:rsidP="00E1521D">
      <w:pPr>
        <w:jc w:val="both"/>
        <w:rPr>
          <w:rFonts w:ascii="Cambria" w:hAnsi="Cambria"/>
          <w:color w:val="275317" w:themeColor="accent6" w:themeShade="80"/>
        </w:rPr>
      </w:pPr>
      <w:r>
        <w:rPr>
          <w:rFonts w:ascii="Cambria" w:hAnsi="Cambria"/>
          <w:color w:val="275317" w:themeColor="accent6" w:themeShade="80"/>
        </w:rPr>
        <w:t xml:space="preserve">Se </w:t>
      </w:r>
      <w:r w:rsidR="00C04A7B">
        <w:rPr>
          <w:rFonts w:ascii="Cambria" w:hAnsi="Cambria"/>
          <w:color w:val="275317" w:themeColor="accent6" w:themeShade="80"/>
        </w:rPr>
        <w:t>compartirá</w:t>
      </w:r>
      <w:r>
        <w:rPr>
          <w:rFonts w:ascii="Cambria" w:hAnsi="Cambria"/>
          <w:color w:val="275317" w:themeColor="accent6" w:themeShade="80"/>
        </w:rPr>
        <w:t xml:space="preserve"> la tabla</w:t>
      </w:r>
      <w:r w:rsidR="00C04A7B">
        <w:rPr>
          <w:rFonts w:ascii="Cambria" w:hAnsi="Cambria"/>
          <w:color w:val="275317" w:themeColor="accent6" w:themeShade="80"/>
        </w:rPr>
        <w:t xml:space="preserve"> en Excel conteniendo</w:t>
      </w:r>
      <w:r>
        <w:rPr>
          <w:rFonts w:ascii="Cambria" w:hAnsi="Cambria"/>
          <w:color w:val="275317" w:themeColor="accent6" w:themeShade="80"/>
        </w:rPr>
        <w:t xml:space="preserve"> los modelos lumínicos</w:t>
      </w:r>
      <w:r w:rsidRPr="00C80BA5">
        <w:rPr>
          <w:rFonts w:ascii="Cambria" w:hAnsi="Cambria"/>
          <w:color w:val="275317" w:themeColor="accent6" w:themeShade="80"/>
        </w:rPr>
        <w:t>.</w:t>
      </w:r>
    </w:p>
    <w:p w14:paraId="5AD2E300" w14:textId="77777777" w:rsidR="00891530" w:rsidRPr="00891530" w:rsidRDefault="00891530" w:rsidP="00E1521D">
      <w:pPr>
        <w:jc w:val="both"/>
      </w:pPr>
    </w:p>
    <w:p w14:paraId="675B4D8A" w14:textId="77777777" w:rsidR="00891530" w:rsidRPr="00891530" w:rsidRDefault="00891530" w:rsidP="00E1521D">
      <w:pPr>
        <w:jc w:val="both"/>
      </w:pPr>
      <w:r w:rsidRPr="00891530">
        <w:t xml:space="preserve">Consulta </w:t>
      </w:r>
      <w:proofErr w:type="spellStart"/>
      <w:proofErr w:type="gramStart"/>
      <w:r w:rsidRPr="00891530">
        <w:t>No.xx</w:t>
      </w:r>
      <w:proofErr w:type="spellEnd"/>
      <w:r w:rsidRPr="00891530">
        <w:t>.</w:t>
      </w:r>
      <w:proofErr w:type="gramEnd"/>
      <w:r w:rsidRPr="00891530">
        <w:t xml:space="preserve"> El plazo de ejecución establecido en 18 meses para cada grupo resulta limitado, considerando los tiempos requeridos para la fabricación y transporte de los equipos, los cuales en su mayoría son importados. Estas actividades pueden tomar entre 3 y 5 meses, reduciendo significativamente el tiempo disponible para la instalación de más de 60.000 luminarias. Por lo anterior, solicitamos respetuosamente ampliar el plazo contractual a 24 meses. </w:t>
      </w:r>
    </w:p>
    <w:p w14:paraId="5446F833" w14:textId="77777777" w:rsidR="00C04A7B" w:rsidRDefault="00C04A7B" w:rsidP="00E1521D">
      <w:pPr>
        <w:jc w:val="both"/>
        <w:rPr>
          <w:b/>
          <w:bCs/>
        </w:rPr>
      </w:pPr>
    </w:p>
    <w:p w14:paraId="34BA9F78" w14:textId="2057683F" w:rsidR="00891530" w:rsidRPr="00891530" w:rsidRDefault="00891530" w:rsidP="00E1521D">
      <w:pPr>
        <w:jc w:val="both"/>
        <w:rPr>
          <w:b/>
          <w:bCs/>
        </w:rPr>
      </w:pPr>
      <w:r w:rsidRPr="008B5210">
        <w:rPr>
          <w:b/>
          <w:bCs/>
          <w:highlight w:val="green"/>
        </w:rPr>
        <w:t>Respuesta:</w:t>
      </w:r>
    </w:p>
    <w:p w14:paraId="3745E6E9" w14:textId="0BB13852" w:rsidR="00E8435F" w:rsidRPr="00C80BA5" w:rsidRDefault="00E8435F" w:rsidP="00E1521D">
      <w:pPr>
        <w:jc w:val="both"/>
        <w:rPr>
          <w:rFonts w:ascii="Cambria" w:hAnsi="Cambria"/>
          <w:color w:val="275317" w:themeColor="accent6" w:themeShade="80"/>
        </w:rPr>
      </w:pPr>
      <w:r>
        <w:rPr>
          <w:rFonts w:ascii="Cambria" w:hAnsi="Cambria"/>
          <w:color w:val="275317" w:themeColor="accent6" w:themeShade="80"/>
        </w:rPr>
        <w:t xml:space="preserve">Revisar la solicitud de estudios. </w:t>
      </w:r>
      <w:r w:rsidRPr="00E8435F">
        <w:rPr>
          <w:rFonts w:ascii="Cambria" w:hAnsi="Cambria"/>
          <w:color w:val="275317" w:themeColor="accent6" w:themeShade="80"/>
        </w:rPr>
        <w:t xml:space="preserve">Valorar la posibilidad de ampliar el plazo de entrega de las </w:t>
      </w:r>
      <w:r w:rsidR="00C04A7B" w:rsidRPr="00E8435F">
        <w:rPr>
          <w:rFonts w:ascii="Cambria" w:hAnsi="Cambria"/>
          <w:color w:val="275317" w:themeColor="accent6" w:themeShade="80"/>
        </w:rPr>
        <w:t>ofertas.</w:t>
      </w:r>
      <w:r w:rsidR="00C04A7B">
        <w:rPr>
          <w:rFonts w:ascii="Cambria" w:hAnsi="Cambria"/>
          <w:color w:val="275317" w:themeColor="accent6" w:themeShade="80"/>
        </w:rPr>
        <w:t xml:space="preserve"> </w:t>
      </w:r>
      <w:r w:rsidR="00C04A7B" w:rsidRPr="008B5210">
        <w:rPr>
          <w:rFonts w:ascii="Cambria" w:hAnsi="Cambria"/>
          <w:color w:val="275317" w:themeColor="accent6" w:themeShade="80"/>
          <w:highlight w:val="red"/>
        </w:rPr>
        <w:t>(</w:t>
      </w:r>
      <w:r w:rsidR="00907B6B" w:rsidRPr="008B5210">
        <w:rPr>
          <w:rFonts w:ascii="Cambria" w:hAnsi="Cambria"/>
          <w:color w:val="275317" w:themeColor="accent6" w:themeShade="80"/>
          <w:highlight w:val="red"/>
        </w:rPr>
        <w:t xml:space="preserve">debe ser visto </w:t>
      </w:r>
      <w:r w:rsidR="00C04A7B" w:rsidRPr="008B5210">
        <w:rPr>
          <w:rFonts w:ascii="Cambria" w:hAnsi="Cambria"/>
          <w:color w:val="275317" w:themeColor="accent6" w:themeShade="80"/>
          <w:highlight w:val="red"/>
        </w:rPr>
        <w:t xml:space="preserve">con el coordinador general de </w:t>
      </w:r>
      <w:proofErr w:type="spellStart"/>
      <w:r w:rsidR="00C04A7B" w:rsidRPr="008B5210">
        <w:rPr>
          <w:rFonts w:ascii="Cambria" w:hAnsi="Cambria"/>
          <w:color w:val="275317" w:themeColor="accent6" w:themeShade="80"/>
          <w:highlight w:val="red"/>
        </w:rPr>
        <w:t>uep</w:t>
      </w:r>
      <w:proofErr w:type="spellEnd"/>
      <w:r w:rsidR="00C04A7B" w:rsidRPr="008B5210">
        <w:rPr>
          <w:rFonts w:ascii="Cambria" w:hAnsi="Cambria"/>
          <w:color w:val="275317" w:themeColor="accent6" w:themeShade="80"/>
          <w:highlight w:val="red"/>
        </w:rPr>
        <w:t>).</w:t>
      </w:r>
    </w:p>
    <w:p w14:paraId="5634FEE0" w14:textId="7891EDCE" w:rsidR="00891530" w:rsidRDefault="00891530" w:rsidP="00E1521D">
      <w:pPr>
        <w:jc w:val="both"/>
      </w:pPr>
    </w:p>
    <w:p w14:paraId="115CFFAF" w14:textId="37C99C30" w:rsidR="008B5210" w:rsidRDefault="008B5210" w:rsidP="00E1521D">
      <w:pPr>
        <w:jc w:val="both"/>
      </w:pPr>
    </w:p>
    <w:p w14:paraId="4C79BF71" w14:textId="75B2425E" w:rsidR="008B5210" w:rsidRDefault="008B5210" w:rsidP="00E1521D">
      <w:pPr>
        <w:jc w:val="both"/>
      </w:pPr>
    </w:p>
    <w:p w14:paraId="52A8F4B4" w14:textId="77777777" w:rsidR="008B5210" w:rsidRPr="00891530" w:rsidRDefault="008B5210" w:rsidP="00E1521D">
      <w:pPr>
        <w:jc w:val="both"/>
      </w:pPr>
    </w:p>
    <w:p w14:paraId="4A22CAFD" w14:textId="77777777" w:rsidR="00891530" w:rsidRPr="00891530" w:rsidRDefault="00891530" w:rsidP="00E1521D">
      <w:pPr>
        <w:jc w:val="both"/>
      </w:pPr>
      <w:r w:rsidRPr="00891530">
        <w:lastRenderedPageBreak/>
        <w:t xml:space="preserve">Consulta No. xx. La fecha de cierre prevista para el 20 de mayo se considera cercana, dado el volumen de información requerida y la complejidad logística y financiera asociada al manejo de suministros internacionales. En consecuencia, sugerimos extender el plazo de cierre hasta el 20 de junio. </w:t>
      </w:r>
    </w:p>
    <w:p w14:paraId="296B8A79" w14:textId="77777777" w:rsidR="008B5210" w:rsidRDefault="008B5210" w:rsidP="00E1521D">
      <w:pPr>
        <w:jc w:val="both"/>
        <w:rPr>
          <w:b/>
          <w:bCs/>
        </w:rPr>
      </w:pPr>
    </w:p>
    <w:p w14:paraId="33D2302A" w14:textId="7A444DD9" w:rsidR="00891530" w:rsidRDefault="00891530" w:rsidP="00E1521D">
      <w:pPr>
        <w:jc w:val="both"/>
        <w:rPr>
          <w:b/>
          <w:bCs/>
        </w:rPr>
      </w:pPr>
      <w:r w:rsidRPr="008B5210">
        <w:rPr>
          <w:b/>
          <w:bCs/>
          <w:highlight w:val="green"/>
        </w:rPr>
        <w:t>Respuesta:</w:t>
      </w:r>
    </w:p>
    <w:p w14:paraId="0D08A5DB" w14:textId="55FC1651" w:rsidR="00E8435F" w:rsidRPr="00C80BA5" w:rsidRDefault="00E8435F" w:rsidP="00E1521D">
      <w:pPr>
        <w:jc w:val="both"/>
        <w:rPr>
          <w:rFonts w:ascii="Cambria" w:hAnsi="Cambria"/>
          <w:color w:val="275317" w:themeColor="accent6" w:themeShade="80"/>
        </w:rPr>
      </w:pPr>
      <w:r w:rsidRPr="00E8435F">
        <w:rPr>
          <w:rFonts w:ascii="Cambria" w:hAnsi="Cambria"/>
          <w:color w:val="275317" w:themeColor="accent6" w:themeShade="80"/>
        </w:rPr>
        <w:t>Valorar la posibilidad de ampliar el plazo de entrega de las ofertas.</w:t>
      </w:r>
      <w:r w:rsidR="008B5210">
        <w:rPr>
          <w:rFonts w:ascii="Cambria" w:hAnsi="Cambria"/>
          <w:color w:val="275317" w:themeColor="accent6" w:themeShade="80"/>
        </w:rPr>
        <w:t xml:space="preserve"> </w:t>
      </w:r>
      <w:r w:rsidR="008B5210" w:rsidRPr="008B5210">
        <w:rPr>
          <w:rFonts w:ascii="Cambria" w:hAnsi="Cambria"/>
          <w:color w:val="275317" w:themeColor="accent6" w:themeShade="80"/>
          <w:highlight w:val="red"/>
        </w:rPr>
        <w:t xml:space="preserve">(debe ser visto con el coordinador general de </w:t>
      </w:r>
      <w:proofErr w:type="spellStart"/>
      <w:r w:rsidR="008B5210" w:rsidRPr="008B5210">
        <w:rPr>
          <w:rFonts w:ascii="Cambria" w:hAnsi="Cambria"/>
          <w:color w:val="275317" w:themeColor="accent6" w:themeShade="80"/>
          <w:highlight w:val="red"/>
        </w:rPr>
        <w:t>uep</w:t>
      </w:r>
      <w:proofErr w:type="spellEnd"/>
      <w:r w:rsidR="008B5210" w:rsidRPr="008B5210">
        <w:rPr>
          <w:rFonts w:ascii="Cambria" w:hAnsi="Cambria"/>
          <w:color w:val="275317" w:themeColor="accent6" w:themeShade="80"/>
          <w:highlight w:val="red"/>
        </w:rPr>
        <w:t>).</w:t>
      </w:r>
    </w:p>
    <w:p w14:paraId="218E9673" w14:textId="77777777" w:rsidR="00891530" w:rsidRPr="00891530" w:rsidRDefault="00891530" w:rsidP="00E1521D">
      <w:pPr>
        <w:jc w:val="both"/>
      </w:pPr>
    </w:p>
    <w:p w14:paraId="762E6F6C" w14:textId="77777777" w:rsidR="00891530" w:rsidRPr="00891530" w:rsidRDefault="00891530" w:rsidP="00E1521D">
      <w:pPr>
        <w:jc w:val="both"/>
      </w:pPr>
      <w:r w:rsidRPr="00891530">
        <w:t xml:space="preserve">Consulta No. xx. En relación con las luminarias con batería contempladas en los PDTG, no se especifican parámetros clave como la autonomía ni el porcentaje de flujo lumínico en modo batería. Dado que estos aspectos son determinantes en la definición de costos y desempeño, solicitamos se precise esta información. </w:t>
      </w:r>
    </w:p>
    <w:p w14:paraId="1E03CA94" w14:textId="77777777" w:rsidR="008B5210" w:rsidRDefault="008B5210" w:rsidP="00E1521D">
      <w:pPr>
        <w:jc w:val="both"/>
        <w:rPr>
          <w:b/>
          <w:bCs/>
        </w:rPr>
      </w:pPr>
    </w:p>
    <w:p w14:paraId="6E758488" w14:textId="7EEB2553" w:rsidR="00891530" w:rsidRPr="00891530" w:rsidRDefault="00891530" w:rsidP="00E1521D">
      <w:pPr>
        <w:jc w:val="both"/>
        <w:rPr>
          <w:b/>
          <w:bCs/>
        </w:rPr>
      </w:pPr>
      <w:r w:rsidRPr="00891530">
        <w:rPr>
          <w:b/>
          <w:bCs/>
        </w:rPr>
        <w:t>Respuesta:</w:t>
      </w:r>
    </w:p>
    <w:p w14:paraId="5E18C56E" w14:textId="77777777" w:rsidR="00E8435F" w:rsidRPr="008B3086" w:rsidRDefault="00E8435F" w:rsidP="00E1521D">
      <w:pPr>
        <w:jc w:val="both"/>
        <w:rPr>
          <w:rFonts w:ascii="Cambria" w:hAnsi="Cambria"/>
          <w:color w:val="275317" w:themeColor="accent6" w:themeShade="80"/>
        </w:rPr>
      </w:pPr>
      <w:r w:rsidRPr="008B3086">
        <w:rPr>
          <w:rFonts w:ascii="Cambria" w:hAnsi="Cambria"/>
          <w:color w:val="275317" w:themeColor="accent6" w:themeShade="80"/>
        </w:rPr>
        <w:t>No se exige ningún requerimiento de autonomía. Las luminarias con baterías de emergencias cumplirán la función de proporcionar el servicio mínimo de alumbrado frente a cortes del suministro eléctrico. Es por ello que se configuraran para proporcionar el mayor número de horas de autonomía, dependiendo de la potencia de las luminarias y el régimen de funcionamiento de la misma</w:t>
      </w:r>
    </w:p>
    <w:p w14:paraId="76519908" w14:textId="77777777" w:rsidR="00E8435F" w:rsidRPr="00891530" w:rsidRDefault="00E8435F" w:rsidP="00E1521D">
      <w:pPr>
        <w:jc w:val="both"/>
      </w:pPr>
    </w:p>
    <w:p w14:paraId="62AB1BB2" w14:textId="77777777" w:rsidR="00891530" w:rsidRPr="00891530" w:rsidRDefault="00891530" w:rsidP="00E1521D">
      <w:pPr>
        <w:jc w:val="both"/>
      </w:pPr>
      <w:r w:rsidRPr="00891530">
        <w:t xml:space="preserve">Consulta No. xx. Los PDTG no incluyen especificaciones técnicas relacionadas con los equipos de </w:t>
      </w:r>
      <w:proofErr w:type="spellStart"/>
      <w:r w:rsidRPr="00891530">
        <w:t>fotocontrol</w:t>
      </w:r>
      <w:proofErr w:type="spellEnd"/>
      <w:r w:rsidRPr="00891530">
        <w:t xml:space="preserve"> o fotoceldas, elementos fundamentales para la operación adecuada de las luminarias led del sistema de alumbrado público. Por lo tanto, solicitamos se incorporen las características técnicas requeridas para estos dispositivos. </w:t>
      </w:r>
    </w:p>
    <w:p w14:paraId="3A8ACD6F" w14:textId="77777777" w:rsidR="008B5210" w:rsidRDefault="008B5210" w:rsidP="00E1521D">
      <w:pPr>
        <w:jc w:val="both"/>
        <w:rPr>
          <w:b/>
          <w:bCs/>
        </w:rPr>
      </w:pPr>
    </w:p>
    <w:p w14:paraId="5952573A" w14:textId="127F5920" w:rsidR="00891530" w:rsidRPr="00891530" w:rsidRDefault="00891530" w:rsidP="00E1521D">
      <w:pPr>
        <w:jc w:val="both"/>
        <w:rPr>
          <w:b/>
          <w:bCs/>
        </w:rPr>
      </w:pPr>
      <w:r w:rsidRPr="00891530">
        <w:rPr>
          <w:b/>
          <w:bCs/>
        </w:rPr>
        <w:t>Respuesta:</w:t>
      </w:r>
    </w:p>
    <w:p w14:paraId="4FDF014B" w14:textId="04876873" w:rsidR="00E8435F" w:rsidRPr="008B3086" w:rsidRDefault="004C1E12" w:rsidP="00E1521D">
      <w:pPr>
        <w:jc w:val="both"/>
        <w:rPr>
          <w:rFonts w:ascii="Cambria" w:hAnsi="Cambria"/>
          <w:color w:val="275317" w:themeColor="accent6" w:themeShade="80"/>
        </w:rPr>
      </w:pPr>
      <w:r>
        <w:rPr>
          <w:rFonts w:ascii="Cambria" w:hAnsi="Cambria"/>
          <w:color w:val="275317" w:themeColor="accent6" w:themeShade="80"/>
        </w:rPr>
        <w:t>Esto no corresponde a esta licitación.</w:t>
      </w:r>
    </w:p>
    <w:p w14:paraId="792C6FA4" w14:textId="77777777" w:rsidR="00891530" w:rsidRPr="00891530" w:rsidRDefault="00891530" w:rsidP="00E1521D">
      <w:pPr>
        <w:jc w:val="both"/>
      </w:pPr>
    </w:p>
    <w:p w14:paraId="38C3E3C9" w14:textId="77777777" w:rsidR="00891530" w:rsidRPr="00E05294" w:rsidRDefault="00891530" w:rsidP="00E1521D">
      <w:pPr>
        <w:jc w:val="both"/>
      </w:pPr>
      <w:r w:rsidRPr="00E05294">
        <w:t xml:space="preserve">Consulta No. xx. En los PDTG de luminarias LED no se define la clasificación de aislamiento eléctrico, un parámetro relevante tanto en el costo del equipo como en las condiciones de instalación, especialmente en lo relacionado con los sistemas de puesta a tierra. Solicitamos amablemente aclarar este requerimiento. </w:t>
      </w:r>
    </w:p>
    <w:p w14:paraId="36577705" w14:textId="77777777" w:rsidR="008B5210" w:rsidRDefault="008B5210" w:rsidP="00E1521D">
      <w:pPr>
        <w:jc w:val="both"/>
        <w:rPr>
          <w:b/>
          <w:bCs/>
        </w:rPr>
      </w:pPr>
    </w:p>
    <w:p w14:paraId="4E065D93" w14:textId="79F7E6A0" w:rsidR="00891530" w:rsidRPr="00891530" w:rsidRDefault="00891530" w:rsidP="00E1521D">
      <w:pPr>
        <w:jc w:val="both"/>
        <w:rPr>
          <w:b/>
          <w:bCs/>
        </w:rPr>
      </w:pPr>
      <w:r w:rsidRPr="008B5210">
        <w:rPr>
          <w:b/>
          <w:bCs/>
          <w:highlight w:val="green"/>
        </w:rPr>
        <w:t>Respuesta:</w:t>
      </w:r>
      <w:r w:rsidRPr="00891530">
        <w:rPr>
          <w:b/>
          <w:bCs/>
        </w:rPr>
        <w:t xml:space="preserve"> </w:t>
      </w:r>
    </w:p>
    <w:p w14:paraId="6540BC26" w14:textId="297E0B0E" w:rsidR="00891530" w:rsidRPr="00E05294" w:rsidRDefault="00E05294" w:rsidP="00E1521D">
      <w:pPr>
        <w:jc w:val="both"/>
        <w:rPr>
          <w:rFonts w:ascii="Cambria" w:hAnsi="Cambria"/>
          <w:color w:val="275317" w:themeColor="accent6" w:themeShade="80"/>
        </w:rPr>
      </w:pPr>
      <w:r w:rsidRPr="008B5210">
        <w:rPr>
          <w:rFonts w:ascii="Cambria" w:hAnsi="Cambria"/>
          <w:color w:val="275317" w:themeColor="accent6" w:themeShade="80"/>
        </w:rPr>
        <w:t>Es necesario que las luminarias sean de Clase II.</w:t>
      </w:r>
    </w:p>
    <w:p w14:paraId="7F7EDF48" w14:textId="77777777" w:rsidR="00891530" w:rsidRPr="00891530" w:rsidRDefault="00891530" w:rsidP="00E1521D">
      <w:pPr>
        <w:jc w:val="both"/>
      </w:pPr>
    </w:p>
    <w:p w14:paraId="4148D96C" w14:textId="77777777" w:rsidR="00891530" w:rsidRPr="00891530" w:rsidRDefault="00891530" w:rsidP="00E1521D">
      <w:pPr>
        <w:jc w:val="both"/>
      </w:pPr>
      <w:r w:rsidRPr="00891530">
        <w:t xml:space="preserve">Consulta No. xx. Agradecemos se precise si todos los lotes deben incluir en su alcance la actividad de instalación, o si esta aplica únicamente para el lote 1. </w:t>
      </w:r>
    </w:p>
    <w:p w14:paraId="3B549EA9" w14:textId="77777777" w:rsidR="008B5210" w:rsidRDefault="008B5210" w:rsidP="00E1521D">
      <w:pPr>
        <w:jc w:val="both"/>
        <w:rPr>
          <w:b/>
          <w:bCs/>
        </w:rPr>
      </w:pPr>
    </w:p>
    <w:p w14:paraId="22C9DF46" w14:textId="1D575B41" w:rsidR="00891530" w:rsidRDefault="00891530" w:rsidP="00E1521D">
      <w:pPr>
        <w:jc w:val="both"/>
        <w:rPr>
          <w:b/>
          <w:bCs/>
        </w:rPr>
      </w:pPr>
      <w:r w:rsidRPr="00891530">
        <w:rPr>
          <w:b/>
          <w:bCs/>
        </w:rPr>
        <w:t>Respuesta:</w:t>
      </w:r>
    </w:p>
    <w:p w14:paraId="3253D576" w14:textId="5BA327EC" w:rsidR="00E8435F" w:rsidRPr="008B3086" w:rsidRDefault="00E8435F" w:rsidP="00E1521D">
      <w:pPr>
        <w:jc w:val="both"/>
        <w:rPr>
          <w:rFonts w:ascii="Cambria" w:hAnsi="Cambria"/>
          <w:color w:val="275317" w:themeColor="accent6" w:themeShade="80"/>
        </w:rPr>
      </w:pPr>
      <w:r>
        <w:rPr>
          <w:rFonts w:ascii="Cambria" w:hAnsi="Cambria"/>
          <w:color w:val="275317" w:themeColor="accent6" w:themeShade="80"/>
        </w:rPr>
        <w:t>El alcance de todos los lotes es de suministro e instalación.</w:t>
      </w:r>
    </w:p>
    <w:p w14:paraId="35874E82" w14:textId="77777777" w:rsidR="00891530" w:rsidRPr="00891530" w:rsidRDefault="00891530" w:rsidP="00E1521D">
      <w:pPr>
        <w:jc w:val="both"/>
      </w:pPr>
    </w:p>
    <w:p w14:paraId="22DB8F0B" w14:textId="77777777" w:rsidR="00891530" w:rsidRPr="00891530" w:rsidRDefault="00891530" w:rsidP="00E1521D">
      <w:pPr>
        <w:jc w:val="both"/>
      </w:pPr>
      <w:r w:rsidRPr="00891530">
        <w:t xml:space="preserve">Consulta </w:t>
      </w:r>
      <w:proofErr w:type="spellStart"/>
      <w:proofErr w:type="gramStart"/>
      <w:r w:rsidRPr="00891530">
        <w:t>No.xx</w:t>
      </w:r>
      <w:proofErr w:type="spellEnd"/>
      <w:r w:rsidRPr="00891530">
        <w:t>.</w:t>
      </w:r>
      <w:proofErr w:type="gramEnd"/>
      <w:r w:rsidRPr="00891530">
        <w:t xml:space="preserve"> Considerando que el requisito de certificación </w:t>
      </w:r>
      <w:proofErr w:type="spellStart"/>
      <w:r w:rsidRPr="00891530">
        <w:t>DarkSky</w:t>
      </w:r>
      <w:proofErr w:type="spellEnd"/>
      <w:r w:rsidRPr="00891530">
        <w:t xml:space="preserve"> International no es aplicable en varios países de América del Sur, nuestra empresa y productos no cuentan actualmente con dicha inscripción. No obstante, nuestras luminarias cumplen con las características fotométricas exigidas por este estándar. En virtud del corto plazo para la presentación de la oferta, solicitamos que este requisito formal pueda ser acreditado con posterioridad a la adjudicación del contrato.</w:t>
      </w:r>
    </w:p>
    <w:p w14:paraId="5C0B6D37" w14:textId="77777777" w:rsidR="00891530" w:rsidRPr="00891530" w:rsidRDefault="00891530" w:rsidP="00E1521D">
      <w:pPr>
        <w:jc w:val="both"/>
        <w:rPr>
          <w:b/>
          <w:bCs/>
        </w:rPr>
      </w:pPr>
      <w:r w:rsidRPr="008B5210">
        <w:rPr>
          <w:b/>
          <w:bCs/>
          <w:highlight w:val="green"/>
        </w:rPr>
        <w:lastRenderedPageBreak/>
        <w:t>Respuesta:</w:t>
      </w:r>
    </w:p>
    <w:p w14:paraId="3D69B71D" w14:textId="35E11F67" w:rsidR="00891530" w:rsidRPr="00891530" w:rsidRDefault="00D9629E" w:rsidP="00E1521D">
      <w:pPr>
        <w:jc w:val="both"/>
      </w:pPr>
      <w:r>
        <w:rPr>
          <w:rFonts w:ascii="Cambria" w:hAnsi="Cambria"/>
          <w:color w:val="275317" w:themeColor="accent6" w:themeShade="80"/>
        </w:rPr>
        <w:t xml:space="preserve">No se considera la certificación </w:t>
      </w:r>
      <w:proofErr w:type="spellStart"/>
      <w:r>
        <w:rPr>
          <w:rFonts w:ascii="Cambria" w:hAnsi="Cambria"/>
          <w:color w:val="275317" w:themeColor="accent6" w:themeShade="80"/>
        </w:rPr>
        <w:t>DarkSky</w:t>
      </w:r>
      <w:proofErr w:type="spellEnd"/>
      <w:r>
        <w:rPr>
          <w:rFonts w:ascii="Cambria" w:hAnsi="Cambria"/>
          <w:color w:val="275317" w:themeColor="accent6" w:themeShade="80"/>
        </w:rPr>
        <w:t xml:space="preserve"> como requisito del producto</w:t>
      </w:r>
    </w:p>
    <w:p w14:paraId="1BA2AF1A" w14:textId="77777777" w:rsidR="00891530" w:rsidRPr="00891530" w:rsidRDefault="00891530" w:rsidP="00E1521D">
      <w:pPr>
        <w:jc w:val="both"/>
        <w:rPr>
          <w:b/>
          <w:bCs/>
        </w:rPr>
      </w:pPr>
    </w:p>
    <w:p w14:paraId="4B242A92" w14:textId="77777777" w:rsidR="00891530" w:rsidRPr="00891530" w:rsidRDefault="00891530" w:rsidP="00E1521D">
      <w:pPr>
        <w:jc w:val="both"/>
      </w:pPr>
      <w:r w:rsidRPr="00891530">
        <w:t xml:space="preserve">Consulta </w:t>
      </w:r>
      <w:proofErr w:type="spellStart"/>
      <w:proofErr w:type="gramStart"/>
      <w:r w:rsidRPr="00891530">
        <w:t>No.xx</w:t>
      </w:r>
      <w:proofErr w:type="spellEnd"/>
      <w:r w:rsidRPr="00891530">
        <w:t>.</w:t>
      </w:r>
      <w:proofErr w:type="gramEnd"/>
      <w:r w:rsidRPr="00891530">
        <w:t xml:space="preserve"> Experiencia específica del oferente – definición de “nodos” En los criterios de experiencia específica del oferente se establece como referencia: “Mayor o igual a 250.000 nodos en una ciudad/red, en operación en los meses previos a la presentación de la propuesta”. Teniendo en cuenta que el término “nodos” puede generar diferentes interpretaciones técnicas (por ejemplo, luminarias, dispositivos de telegestión o puntos de control), se solicita: ¿Se confirma que el término “nodos” corresponde a luminarias instaladas o se refiere específicamente a dispositivos asociados a sistemas de telegestión (controladores, nodos, etc.)? Adicionalmente, se solicita aclarar si para el cumplimiento de este requisito es posible acreditar la experiencia mediante la sumatoria de varios proyectos ejecutados en diferentes ciudades o redes, o si se exige que dicha cantidad corresponda a un único proyecto en una misma ciudad/red.</w:t>
      </w:r>
    </w:p>
    <w:p w14:paraId="458210BC" w14:textId="77777777" w:rsidR="00891530" w:rsidRPr="00891530" w:rsidRDefault="00891530" w:rsidP="00E1521D">
      <w:pPr>
        <w:jc w:val="both"/>
        <w:rPr>
          <w:b/>
          <w:bCs/>
        </w:rPr>
      </w:pPr>
    </w:p>
    <w:p w14:paraId="29C8D324" w14:textId="77777777" w:rsidR="00891530" w:rsidRPr="00891530" w:rsidRDefault="00891530" w:rsidP="00E1521D">
      <w:pPr>
        <w:jc w:val="both"/>
        <w:rPr>
          <w:b/>
          <w:bCs/>
        </w:rPr>
      </w:pPr>
      <w:r w:rsidRPr="00891530">
        <w:rPr>
          <w:b/>
          <w:bCs/>
        </w:rPr>
        <w:t>Respuesta:</w:t>
      </w:r>
    </w:p>
    <w:p w14:paraId="4EA21029" w14:textId="5E02CFCB" w:rsidR="00F539B2" w:rsidRPr="00F539B2" w:rsidRDefault="00F539B2" w:rsidP="00E1521D">
      <w:pPr>
        <w:jc w:val="both"/>
        <w:rPr>
          <w:rFonts w:ascii="Cambria" w:hAnsi="Cambria"/>
          <w:color w:val="275317" w:themeColor="accent6" w:themeShade="80"/>
        </w:rPr>
      </w:pPr>
      <w:r w:rsidRPr="000F1A93">
        <w:rPr>
          <w:rFonts w:ascii="Cambria" w:hAnsi="Cambria"/>
          <w:color w:val="275317" w:themeColor="accent6" w:themeShade="80"/>
        </w:rPr>
        <w:t>Esta licitación incluye exclusivamente el suministro e instalación de luminarias</w:t>
      </w:r>
      <w:r w:rsidRPr="00F539B2">
        <w:rPr>
          <w:rFonts w:ascii="Cambria" w:hAnsi="Cambria"/>
          <w:color w:val="275317" w:themeColor="accent6" w:themeShade="80"/>
        </w:rPr>
        <w:t>, no de nodos de telegestión.</w:t>
      </w:r>
    </w:p>
    <w:p w14:paraId="20318F84" w14:textId="77777777" w:rsidR="00891530" w:rsidRPr="00891530" w:rsidRDefault="00891530" w:rsidP="00E1521D">
      <w:pPr>
        <w:jc w:val="both"/>
        <w:rPr>
          <w:b/>
          <w:bCs/>
        </w:rPr>
      </w:pPr>
    </w:p>
    <w:p w14:paraId="285B7327" w14:textId="77777777" w:rsidR="00891530" w:rsidRPr="00891530" w:rsidRDefault="00891530" w:rsidP="00E1521D">
      <w:pPr>
        <w:jc w:val="both"/>
      </w:pPr>
      <w:r w:rsidRPr="00891530">
        <w:t>Consulta No. xx. Experiencia específica del oferente – periodo de operación En relación con el mismo criterio, donde se indica que los nodos deben estar “en operación en los meses previos a la presentación de la propuesta”, se evidencia que no se define claramente el periodo mínimo requerido. En ese sentido, se solicita: ¿Cuál es el periodo mínimo de operación que debe acreditarse para la experiencia presentada (por ejemplo, 6 meses, 12 meses u otro), y bajo qué criterio será evaluado este requisito?</w:t>
      </w:r>
    </w:p>
    <w:p w14:paraId="575D5B7C" w14:textId="77777777" w:rsidR="00891530" w:rsidRPr="00891530" w:rsidRDefault="00891530" w:rsidP="00E1521D">
      <w:pPr>
        <w:jc w:val="both"/>
        <w:rPr>
          <w:b/>
          <w:bCs/>
        </w:rPr>
      </w:pPr>
    </w:p>
    <w:p w14:paraId="338B865B" w14:textId="1952AB9F" w:rsidR="00891530" w:rsidRDefault="00891530" w:rsidP="00E1521D">
      <w:pPr>
        <w:jc w:val="both"/>
        <w:rPr>
          <w:b/>
          <w:bCs/>
        </w:rPr>
      </w:pPr>
      <w:r w:rsidRPr="00891530">
        <w:rPr>
          <w:b/>
          <w:bCs/>
        </w:rPr>
        <w:t>Respuesta:</w:t>
      </w:r>
    </w:p>
    <w:p w14:paraId="6543E488" w14:textId="37C45B0F" w:rsidR="00F539B2" w:rsidRDefault="00F54E1E" w:rsidP="00E1521D">
      <w:pPr>
        <w:jc w:val="both"/>
        <w:rPr>
          <w:rFonts w:ascii="Cambria" w:hAnsi="Cambria"/>
        </w:rPr>
      </w:pPr>
      <w:r>
        <w:rPr>
          <w:rFonts w:ascii="Cambria" w:hAnsi="Cambria"/>
          <w:color w:val="275317" w:themeColor="accent6" w:themeShade="80"/>
        </w:rPr>
        <w:t>Este punto se acreditará mediante certificados de buena ejecución.</w:t>
      </w:r>
    </w:p>
    <w:p w14:paraId="78A3354E" w14:textId="77777777" w:rsidR="00F539B2" w:rsidRDefault="00F539B2" w:rsidP="00E1521D">
      <w:pPr>
        <w:jc w:val="both"/>
        <w:rPr>
          <w:rFonts w:ascii="Cambria" w:hAnsi="Cambria"/>
        </w:rPr>
      </w:pPr>
    </w:p>
    <w:p w14:paraId="2D086FF3" w14:textId="77777777" w:rsidR="00891530" w:rsidRPr="00891530" w:rsidRDefault="00891530" w:rsidP="00E1521D">
      <w:pPr>
        <w:jc w:val="both"/>
        <w:rPr>
          <w:b/>
          <w:bCs/>
        </w:rPr>
      </w:pPr>
    </w:p>
    <w:p w14:paraId="37BB7AB8" w14:textId="77777777" w:rsidR="00891530" w:rsidRPr="00891530" w:rsidRDefault="00891530" w:rsidP="00E1521D">
      <w:pPr>
        <w:jc w:val="both"/>
        <w:rPr>
          <w:b/>
          <w:bCs/>
        </w:rPr>
      </w:pPr>
      <w:r w:rsidRPr="00891530">
        <w:rPr>
          <w:b/>
          <w:bCs/>
        </w:rPr>
        <w:t xml:space="preserve">Consulta </w:t>
      </w:r>
      <w:proofErr w:type="spellStart"/>
      <w:proofErr w:type="gramStart"/>
      <w:r w:rsidRPr="00891530">
        <w:rPr>
          <w:b/>
          <w:bCs/>
        </w:rPr>
        <w:t>No.xx</w:t>
      </w:r>
      <w:proofErr w:type="spellEnd"/>
      <w:r w:rsidRPr="00891530">
        <w:rPr>
          <w:b/>
          <w:bCs/>
        </w:rPr>
        <w:t>.</w:t>
      </w:r>
      <w:proofErr w:type="gramEnd"/>
      <w:r w:rsidRPr="00891530">
        <w:rPr>
          <w:b/>
          <w:bCs/>
        </w:rPr>
        <w:t xml:space="preserve"> El requisito que establece la acreditación de experiencia en el suministro e instalación de 50,000 luminarias en América Latina podría constituir una condición limitante, al restringir la participación de empresas que cuentan con la capacidad técnica, experiencia relevante y recursos necesarios para ejecutar el objeto de la contratación, pero que no han ejecutado proyectos bajo ese volumen específico dentro de la región indicada.</w:t>
      </w:r>
    </w:p>
    <w:p w14:paraId="2E5FBC96" w14:textId="77777777" w:rsidR="00891530" w:rsidRPr="00891530" w:rsidRDefault="00891530" w:rsidP="00E1521D">
      <w:pPr>
        <w:jc w:val="both"/>
        <w:rPr>
          <w:b/>
          <w:bCs/>
        </w:rPr>
      </w:pPr>
    </w:p>
    <w:p w14:paraId="29D294DE" w14:textId="77777777" w:rsidR="00891530" w:rsidRPr="00891530" w:rsidRDefault="00891530" w:rsidP="00E1521D">
      <w:pPr>
        <w:jc w:val="both"/>
        <w:rPr>
          <w:b/>
          <w:bCs/>
        </w:rPr>
      </w:pPr>
      <w:r w:rsidRPr="008B5210">
        <w:rPr>
          <w:b/>
          <w:bCs/>
          <w:highlight w:val="green"/>
        </w:rPr>
        <w:t>Respuesta:</w:t>
      </w:r>
    </w:p>
    <w:p w14:paraId="0709523E" w14:textId="2BA8938F" w:rsidR="00F539B2" w:rsidRPr="008B5210" w:rsidRDefault="00044374" w:rsidP="00E1521D">
      <w:pPr>
        <w:jc w:val="both"/>
        <w:rPr>
          <w:rFonts w:ascii="Cambria" w:hAnsi="Cambria"/>
        </w:rPr>
      </w:pPr>
      <w:r w:rsidRPr="008B5210">
        <w:rPr>
          <w:rFonts w:ascii="Cambria" w:hAnsi="Cambria"/>
          <w:color w:val="275317" w:themeColor="accent6" w:themeShade="80"/>
        </w:rPr>
        <w:t xml:space="preserve">Se propone eliminar del pliego la </w:t>
      </w:r>
      <w:r w:rsidR="00AE78D8" w:rsidRPr="008B5210">
        <w:rPr>
          <w:rFonts w:ascii="Cambria" w:hAnsi="Cambria"/>
          <w:color w:val="275317" w:themeColor="accent6" w:themeShade="80"/>
        </w:rPr>
        <w:t>exigencia</w:t>
      </w:r>
      <w:r w:rsidRPr="008B5210">
        <w:rPr>
          <w:rFonts w:ascii="Cambria" w:hAnsi="Cambria"/>
          <w:color w:val="275317" w:themeColor="accent6" w:themeShade="80"/>
        </w:rPr>
        <w:t xml:space="preserve"> de</w:t>
      </w:r>
      <w:r w:rsidR="00AE78D8" w:rsidRPr="008B5210">
        <w:rPr>
          <w:rFonts w:ascii="Cambria" w:hAnsi="Cambria"/>
          <w:color w:val="275317" w:themeColor="accent6" w:themeShade="80"/>
        </w:rPr>
        <w:t xml:space="preserve"> la experiencia en</w:t>
      </w:r>
      <w:r w:rsidRPr="008B5210">
        <w:rPr>
          <w:rFonts w:ascii="Cambria" w:hAnsi="Cambria"/>
          <w:color w:val="275317" w:themeColor="accent6" w:themeShade="80"/>
        </w:rPr>
        <w:t xml:space="preserve"> </w:t>
      </w:r>
      <w:r w:rsidR="00AE78D8" w:rsidRPr="008B5210">
        <w:rPr>
          <w:rFonts w:ascii="Cambria" w:hAnsi="Cambria"/>
          <w:color w:val="275317" w:themeColor="accent6" w:themeShade="80"/>
        </w:rPr>
        <w:t>América</w:t>
      </w:r>
      <w:r w:rsidRPr="008B5210">
        <w:rPr>
          <w:rFonts w:ascii="Cambria" w:hAnsi="Cambria"/>
          <w:color w:val="275317" w:themeColor="accent6" w:themeShade="80"/>
        </w:rPr>
        <w:t xml:space="preserve"> </w:t>
      </w:r>
      <w:r w:rsidR="00AE78D8" w:rsidRPr="008B5210">
        <w:rPr>
          <w:rFonts w:ascii="Cambria" w:hAnsi="Cambria"/>
          <w:color w:val="275317" w:themeColor="accent6" w:themeShade="80"/>
        </w:rPr>
        <w:t>L</w:t>
      </w:r>
      <w:r w:rsidRPr="008B5210">
        <w:rPr>
          <w:rFonts w:ascii="Cambria" w:hAnsi="Cambria"/>
          <w:color w:val="275317" w:themeColor="accent6" w:themeShade="80"/>
        </w:rPr>
        <w:t>atina</w:t>
      </w:r>
      <w:r w:rsidR="008B5210">
        <w:rPr>
          <w:rFonts w:ascii="Cambria" w:hAnsi="Cambria"/>
          <w:color w:val="275317" w:themeColor="accent6" w:themeShade="80"/>
        </w:rPr>
        <w:t>.</w:t>
      </w:r>
      <w:r w:rsidR="008B5210" w:rsidRPr="008B5210">
        <w:rPr>
          <w:rFonts w:ascii="Cambria" w:hAnsi="Cambria"/>
          <w:color w:val="275317" w:themeColor="accent6" w:themeShade="80"/>
          <w:highlight w:val="red"/>
        </w:rPr>
        <w:t xml:space="preserve"> </w:t>
      </w:r>
      <w:r w:rsidR="008B5210" w:rsidRPr="008B5210">
        <w:rPr>
          <w:rFonts w:ascii="Cambria" w:hAnsi="Cambria"/>
          <w:color w:val="275317" w:themeColor="accent6" w:themeShade="80"/>
          <w:highlight w:val="red"/>
        </w:rPr>
        <w:t xml:space="preserve">(debe ser visto con el coordinador general de </w:t>
      </w:r>
      <w:proofErr w:type="spellStart"/>
      <w:r w:rsidR="008B5210" w:rsidRPr="008B5210">
        <w:rPr>
          <w:rFonts w:ascii="Cambria" w:hAnsi="Cambria"/>
          <w:color w:val="275317" w:themeColor="accent6" w:themeShade="80"/>
          <w:highlight w:val="red"/>
        </w:rPr>
        <w:t>uep</w:t>
      </w:r>
      <w:proofErr w:type="spellEnd"/>
      <w:r w:rsidR="008B5210" w:rsidRPr="008B5210">
        <w:rPr>
          <w:rFonts w:ascii="Cambria" w:hAnsi="Cambria"/>
          <w:color w:val="275317" w:themeColor="accent6" w:themeShade="80"/>
          <w:highlight w:val="red"/>
        </w:rPr>
        <w:t>).</w:t>
      </w:r>
    </w:p>
    <w:p w14:paraId="4E0C1D7A" w14:textId="77777777" w:rsidR="00F539B2" w:rsidRPr="00891530" w:rsidRDefault="00F539B2" w:rsidP="00E1521D">
      <w:pPr>
        <w:jc w:val="both"/>
        <w:rPr>
          <w:b/>
          <w:bCs/>
        </w:rPr>
      </w:pPr>
    </w:p>
    <w:p w14:paraId="0CE8E758" w14:textId="77777777" w:rsidR="00891530" w:rsidRPr="00891530" w:rsidRDefault="00891530" w:rsidP="00E1521D">
      <w:pPr>
        <w:jc w:val="both"/>
        <w:rPr>
          <w:b/>
          <w:bCs/>
        </w:rPr>
      </w:pPr>
      <w:r w:rsidRPr="00891530">
        <w:rPr>
          <w:b/>
          <w:bCs/>
        </w:rPr>
        <w:t>Consulta No. xx. Tras analizar los requisitos definidos, entendemos que la exigencia de acreditar experiencia en el suministro e instalación de 50,000 luminarias en América Latina podría limitar la participación de oferentes calificados. Existen empresas con amplia trayectoria, capacidad técnica y recursos suficientes para ejecutar el proyecto, pero que no necesariamente han desarrollado proyectos bajo ese volumen específico dentro de la región indicada.</w:t>
      </w:r>
    </w:p>
    <w:p w14:paraId="5DFFD63C" w14:textId="77777777" w:rsidR="00891530" w:rsidRPr="00891530" w:rsidRDefault="00891530" w:rsidP="00E1521D">
      <w:pPr>
        <w:jc w:val="both"/>
        <w:rPr>
          <w:b/>
          <w:bCs/>
        </w:rPr>
      </w:pPr>
      <w:r w:rsidRPr="00891530">
        <w:rPr>
          <w:b/>
          <w:bCs/>
        </w:rPr>
        <w:br/>
        <w:t xml:space="preserve">En ese sentido, consideramos importante que los criterios de experiencia guarden </w:t>
      </w:r>
      <w:r w:rsidRPr="00891530">
        <w:rPr>
          <w:b/>
          <w:bCs/>
        </w:rPr>
        <w:lastRenderedPageBreak/>
        <w:t>proporcionalidad con el alcance del proyecto y reflejen las condiciones reales del mercado, promoviendo así la participación en igualdad de condiciones y en apego a los principios que rigen la contratación pública.</w:t>
      </w:r>
    </w:p>
    <w:p w14:paraId="3ACAAFA3" w14:textId="77777777" w:rsidR="00891530" w:rsidRPr="00891530" w:rsidRDefault="00891530" w:rsidP="00E1521D">
      <w:pPr>
        <w:jc w:val="both"/>
        <w:rPr>
          <w:b/>
          <w:bCs/>
        </w:rPr>
      </w:pPr>
    </w:p>
    <w:p w14:paraId="0CC0D304" w14:textId="77777777" w:rsidR="00891530" w:rsidRPr="00891530" w:rsidRDefault="00891530" w:rsidP="00E1521D">
      <w:pPr>
        <w:jc w:val="both"/>
        <w:rPr>
          <w:b/>
          <w:bCs/>
        </w:rPr>
      </w:pPr>
      <w:r w:rsidRPr="008B5210">
        <w:rPr>
          <w:b/>
          <w:bCs/>
          <w:highlight w:val="green"/>
        </w:rPr>
        <w:t>Respuesta:</w:t>
      </w:r>
    </w:p>
    <w:p w14:paraId="6180EFD7" w14:textId="77712A51" w:rsidR="00044374" w:rsidRDefault="00AE78D8" w:rsidP="00044374">
      <w:pPr>
        <w:jc w:val="both"/>
        <w:rPr>
          <w:b/>
          <w:bCs/>
        </w:rPr>
      </w:pPr>
      <w:r w:rsidRPr="008B5210">
        <w:rPr>
          <w:rFonts w:ascii="Cambria" w:hAnsi="Cambria"/>
          <w:color w:val="275317" w:themeColor="accent6" w:themeShade="80"/>
        </w:rPr>
        <w:t>Se propone eliminar del pliego la exigencia de la experiencia en América Latina</w:t>
      </w:r>
      <w:r w:rsidR="008B5210" w:rsidRPr="008B5210">
        <w:rPr>
          <w:rFonts w:ascii="Cambria" w:hAnsi="Cambria"/>
          <w:color w:val="275317" w:themeColor="accent6" w:themeShade="80"/>
        </w:rPr>
        <w:t xml:space="preserve">. </w:t>
      </w:r>
      <w:r w:rsidR="008B5210" w:rsidRPr="008B5210">
        <w:rPr>
          <w:rFonts w:ascii="Cambria" w:hAnsi="Cambria"/>
          <w:color w:val="275317" w:themeColor="accent6" w:themeShade="80"/>
          <w:highlight w:val="red"/>
        </w:rPr>
        <w:t xml:space="preserve">(debe ser visto con el coordinador general de </w:t>
      </w:r>
      <w:proofErr w:type="spellStart"/>
      <w:r w:rsidR="008B5210" w:rsidRPr="008B5210">
        <w:rPr>
          <w:rFonts w:ascii="Cambria" w:hAnsi="Cambria"/>
          <w:color w:val="275317" w:themeColor="accent6" w:themeShade="80"/>
          <w:highlight w:val="red"/>
        </w:rPr>
        <w:t>uep</w:t>
      </w:r>
      <w:proofErr w:type="spellEnd"/>
      <w:r w:rsidR="008B5210" w:rsidRPr="008B5210">
        <w:rPr>
          <w:rFonts w:ascii="Cambria" w:hAnsi="Cambria"/>
          <w:color w:val="275317" w:themeColor="accent6" w:themeShade="80"/>
          <w:highlight w:val="red"/>
        </w:rPr>
        <w:t>).</w:t>
      </w:r>
    </w:p>
    <w:p w14:paraId="5C6BE8EA" w14:textId="77777777" w:rsidR="00891530" w:rsidRPr="00891530" w:rsidRDefault="00891530" w:rsidP="00E1521D">
      <w:pPr>
        <w:jc w:val="both"/>
        <w:rPr>
          <w:b/>
          <w:bCs/>
        </w:rPr>
      </w:pPr>
    </w:p>
    <w:p w14:paraId="32D33625" w14:textId="2814BC49" w:rsidR="00891530" w:rsidRPr="00891530" w:rsidRDefault="00891530" w:rsidP="00E1521D">
      <w:pPr>
        <w:jc w:val="both"/>
        <w:rPr>
          <w:b/>
          <w:bCs/>
        </w:rPr>
      </w:pPr>
      <w:r w:rsidRPr="00891530">
        <w:rPr>
          <w:b/>
          <w:bCs/>
        </w:rPr>
        <w:br/>
        <w:t>Adicionalmente, quisiéramos destacar que, en el contexto del sector en la República Dominicana, la práctica habitual ha sido la ejecución integral de proyectos de suministro e instalación de luminarias, sin que la experiencia en la implementación de nodos se establezca como un requisito independiente. La incorporación de este criterio podría restringir la concurrencia de empresas que cuentan con experiencia comprobada en soluciones integrales de iluminación.</w:t>
      </w:r>
    </w:p>
    <w:p w14:paraId="6BD0FAD0" w14:textId="77777777" w:rsidR="00891530" w:rsidRPr="00891530" w:rsidRDefault="00891530" w:rsidP="00E1521D">
      <w:pPr>
        <w:jc w:val="both"/>
        <w:rPr>
          <w:b/>
          <w:bCs/>
        </w:rPr>
      </w:pPr>
      <w:r w:rsidRPr="00891530">
        <w:rPr>
          <w:b/>
          <w:bCs/>
        </w:rPr>
        <w:t>Por lo anterior, solicitamos respetuosamente que sean revisados los aspectos señalados dentro del proceso de referencia, a fin de garantizar condiciones más inclusivas y acordes con la realidad del mercado.</w:t>
      </w:r>
    </w:p>
    <w:p w14:paraId="0C914DAD" w14:textId="77777777" w:rsidR="00891530" w:rsidRPr="00891530" w:rsidRDefault="00891530" w:rsidP="00E1521D">
      <w:pPr>
        <w:jc w:val="both"/>
        <w:rPr>
          <w:b/>
          <w:bCs/>
        </w:rPr>
      </w:pPr>
    </w:p>
    <w:p w14:paraId="3D5DA670" w14:textId="77777777" w:rsidR="00891530" w:rsidRPr="00891530" w:rsidRDefault="00891530" w:rsidP="00E1521D">
      <w:pPr>
        <w:jc w:val="both"/>
        <w:rPr>
          <w:b/>
          <w:bCs/>
        </w:rPr>
      </w:pPr>
      <w:r w:rsidRPr="00891530">
        <w:rPr>
          <w:b/>
          <w:bCs/>
        </w:rPr>
        <w:t>Respuesta:</w:t>
      </w:r>
    </w:p>
    <w:p w14:paraId="15C90093" w14:textId="1DC340B7" w:rsidR="002E7DDB" w:rsidRDefault="00F539B2" w:rsidP="002E7DDB">
      <w:pPr>
        <w:jc w:val="both"/>
        <w:rPr>
          <w:b/>
          <w:bCs/>
        </w:rPr>
      </w:pPr>
      <w:r w:rsidRPr="000F1A93">
        <w:rPr>
          <w:rFonts w:ascii="Cambria" w:hAnsi="Cambria"/>
          <w:color w:val="275317" w:themeColor="accent6" w:themeShade="80"/>
        </w:rPr>
        <w:t>Esta licitación incluye exclusivamente el suministro e instalación de luminarias</w:t>
      </w:r>
      <w:r w:rsidRPr="00F539B2">
        <w:rPr>
          <w:rFonts w:ascii="Cambria" w:hAnsi="Cambria"/>
          <w:color w:val="275317" w:themeColor="accent6" w:themeShade="80"/>
        </w:rPr>
        <w:t>, no de nodos de telegestión.</w:t>
      </w:r>
      <w:r>
        <w:rPr>
          <w:rFonts w:ascii="Cambria" w:hAnsi="Cambria"/>
          <w:color w:val="275317" w:themeColor="accent6" w:themeShade="80"/>
        </w:rPr>
        <w:t xml:space="preserve"> Revisar el requerimiento de experiencia.</w:t>
      </w:r>
      <w:r w:rsidR="002E7DDB" w:rsidRPr="002E7DDB">
        <w:rPr>
          <w:rFonts w:ascii="Cambria" w:hAnsi="Cambria"/>
          <w:color w:val="275317" w:themeColor="accent6" w:themeShade="80"/>
          <w:highlight w:val="red"/>
        </w:rPr>
        <w:t xml:space="preserve"> </w:t>
      </w:r>
      <w:r w:rsidR="002E7DDB" w:rsidRPr="008B5210">
        <w:rPr>
          <w:rFonts w:ascii="Cambria" w:hAnsi="Cambria"/>
          <w:color w:val="275317" w:themeColor="accent6" w:themeShade="80"/>
          <w:highlight w:val="red"/>
        </w:rPr>
        <w:t xml:space="preserve">(debe ser visto con el coordinador general de </w:t>
      </w:r>
      <w:proofErr w:type="spellStart"/>
      <w:r w:rsidR="002E7DDB" w:rsidRPr="008B5210">
        <w:rPr>
          <w:rFonts w:ascii="Cambria" w:hAnsi="Cambria"/>
          <w:color w:val="275317" w:themeColor="accent6" w:themeShade="80"/>
          <w:highlight w:val="red"/>
        </w:rPr>
        <w:t>uep</w:t>
      </w:r>
      <w:proofErr w:type="spellEnd"/>
      <w:r w:rsidR="002E7DDB" w:rsidRPr="008B5210">
        <w:rPr>
          <w:rFonts w:ascii="Cambria" w:hAnsi="Cambria"/>
          <w:color w:val="275317" w:themeColor="accent6" w:themeShade="80"/>
          <w:highlight w:val="red"/>
        </w:rPr>
        <w:t>).</w:t>
      </w:r>
    </w:p>
    <w:p w14:paraId="06421A0A" w14:textId="77777777" w:rsidR="00891530" w:rsidRPr="00891530" w:rsidRDefault="00891530" w:rsidP="00E1521D">
      <w:pPr>
        <w:jc w:val="both"/>
        <w:rPr>
          <w:b/>
          <w:bCs/>
        </w:rPr>
      </w:pPr>
      <w:r w:rsidRPr="00891530">
        <w:rPr>
          <w:b/>
          <w:bCs/>
        </w:rPr>
        <w:br/>
        <w:t xml:space="preserve">Consulta </w:t>
      </w:r>
      <w:proofErr w:type="spellStart"/>
      <w:proofErr w:type="gramStart"/>
      <w:r w:rsidRPr="00891530">
        <w:rPr>
          <w:b/>
          <w:bCs/>
        </w:rPr>
        <w:t>No.xx</w:t>
      </w:r>
      <w:proofErr w:type="spellEnd"/>
      <w:r w:rsidRPr="00891530">
        <w:rPr>
          <w:b/>
          <w:bCs/>
        </w:rPr>
        <w:t>.</w:t>
      </w:r>
      <w:proofErr w:type="gramEnd"/>
      <w:r w:rsidRPr="00891530">
        <w:rPr>
          <w:b/>
          <w:bCs/>
        </w:rPr>
        <w:t xml:space="preserve"> Consideramos que los requisitos de experiencia deben mantener coherencia con el alcance del proyecto y con la realidad técnica del mercado, a fin de garantizar el cumplimiento de los principios de razonabilidad, proporcionalidad y libre concurrencia que rigen los procesos de contratación pública.</w:t>
      </w:r>
    </w:p>
    <w:p w14:paraId="30ED9779" w14:textId="77777777" w:rsidR="00891530" w:rsidRPr="00891530" w:rsidRDefault="00891530" w:rsidP="00E1521D">
      <w:pPr>
        <w:jc w:val="both"/>
        <w:rPr>
          <w:b/>
          <w:bCs/>
        </w:rPr>
      </w:pPr>
      <w:r w:rsidRPr="00891530">
        <w:rPr>
          <w:b/>
          <w:bCs/>
        </w:rPr>
        <w:t>De igual manera, es oportuno señalar que, en el contexto del mercado dominicano, el estándar del sector se ha enfocado en el suministro e instalación de luminarias como componente integral, no siendo habitual la exigencia de experiencia específica en la implementación de nodos como requisito independiente. La inclusión de esta condición podría generar un efecto restrictivo para empresas que cuentan con experiencia comprobada y capacidad suficiente para ejecutar el proyecto de manera eficiente.</w:t>
      </w:r>
    </w:p>
    <w:p w14:paraId="25D8CC62" w14:textId="77777777" w:rsidR="00891530" w:rsidRPr="00891530" w:rsidRDefault="00891530" w:rsidP="00E1521D">
      <w:pPr>
        <w:jc w:val="both"/>
        <w:rPr>
          <w:b/>
          <w:bCs/>
        </w:rPr>
      </w:pPr>
      <w:r w:rsidRPr="00891530">
        <w:rPr>
          <w:b/>
          <w:bCs/>
        </w:rPr>
        <w:t>En ese sentido, solicitamos respetuosamente que este Ministerio tenga a bien evaluar la pertinencia de los requisitos señalados dentro del proceso No. MEM-LPI-BID-01-2026, a fin de asegurar condiciones técnicas proporcionales y fomentar una participación amplia y competitiva.</w:t>
      </w:r>
    </w:p>
    <w:p w14:paraId="092593C3" w14:textId="77777777" w:rsidR="00891530" w:rsidRPr="00891530" w:rsidRDefault="00891530" w:rsidP="00E1521D">
      <w:pPr>
        <w:jc w:val="both"/>
        <w:rPr>
          <w:b/>
          <w:bCs/>
        </w:rPr>
      </w:pPr>
    </w:p>
    <w:p w14:paraId="01A2503F" w14:textId="77777777" w:rsidR="00891530" w:rsidRPr="00891530" w:rsidRDefault="00891530" w:rsidP="00E1521D">
      <w:pPr>
        <w:jc w:val="both"/>
        <w:rPr>
          <w:b/>
          <w:bCs/>
        </w:rPr>
      </w:pPr>
      <w:r w:rsidRPr="00891530">
        <w:rPr>
          <w:b/>
          <w:bCs/>
        </w:rPr>
        <w:t>Respuesta:</w:t>
      </w:r>
    </w:p>
    <w:p w14:paraId="5294432A" w14:textId="106E47C0" w:rsidR="002E7DDB" w:rsidRDefault="00F539B2" w:rsidP="002E7DDB">
      <w:pPr>
        <w:jc w:val="both"/>
        <w:rPr>
          <w:b/>
          <w:bCs/>
        </w:rPr>
      </w:pPr>
      <w:r w:rsidRPr="000F1A93">
        <w:rPr>
          <w:rFonts w:ascii="Cambria" w:hAnsi="Cambria"/>
          <w:color w:val="275317" w:themeColor="accent6" w:themeShade="80"/>
        </w:rPr>
        <w:t>Esta licitación incluye exclusivamente el suministro e instalación de luminarias</w:t>
      </w:r>
      <w:r w:rsidRPr="00F539B2">
        <w:rPr>
          <w:rFonts w:ascii="Cambria" w:hAnsi="Cambria"/>
          <w:color w:val="275317" w:themeColor="accent6" w:themeShade="80"/>
        </w:rPr>
        <w:t>, no de nodos de telegestión.</w:t>
      </w:r>
      <w:r>
        <w:rPr>
          <w:rFonts w:ascii="Cambria" w:hAnsi="Cambria"/>
          <w:color w:val="275317" w:themeColor="accent6" w:themeShade="80"/>
        </w:rPr>
        <w:t xml:space="preserve"> Revisar el requerimiento de experiencia.</w:t>
      </w:r>
      <w:r w:rsidR="002E7DDB" w:rsidRPr="002E7DDB">
        <w:rPr>
          <w:rFonts w:ascii="Cambria" w:hAnsi="Cambria"/>
          <w:color w:val="275317" w:themeColor="accent6" w:themeShade="80"/>
          <w:highlight w:val="red"/>
        </w:rPr>
        <w:t xml:space="preserve"> </w:t>
      </w:r>
      <w:r w:rsidR="002E7DDB" w:rsidRPr="008B5210">
        <w:rPr>
          <w:rFonts w:ascii="Cambria" w:hAnsi="Cambria"/>
          <w:color w:val="275317" w:themeColor="accent6" w:themeShade="80"/>
          <w:highlight w:val="red"/>
        </w:rPr>
        <w:t xml:space="preserve">(debe ser visto con el coordinador general de </w:t>
      </w:r>
      <w:proofErr w:type="spellStart"/>
      <w:r w:rsidR="002E7DDB" w:rsidRPr="008B5210">
        <w:rPr>
          <w:rFonts w:ascii="Cambria" w:hAnsi="Cambria"/>
          <w:color w:val="275317" w:themeColor="accent6" w:themeShade="80"/>
          <w:highlight w:val="red"/>
        </w:rPr>
        <w:t>uep</w:t>
      </w:r>
      <w:proofErr w:type="spellEnd"/>
      <w:r w:rsidR="002E7DDB" w:rsidRPr="008B5210">
        <w:rPr>
          <w:rFonts w:ascii="Cambria" w:hAnsi="Cambria"/>
          <w:color w:val="275317" w:themeColor="accent6" w:themeShade="80"/>
          <w:highlight w:val="red"/>
        </w:rPr>
        <w:t>).</w:t>
      </w:r>
    </w:p>
    <w:p w14:paraId="2EB83A92" w14:textId="1CE175BB" w:rsidR="00F539B2" w:rsidRPr="00F539B2" w:rsidRDefault="00F539B2" w:rsidP="00E1521D">
      <w:pPr>
        <w:jc w:val="both"/>
        <w:rPr>
          <w:rFonts w:ascii="Cambria" w:hAnsi="Cambria"/>
          <w:color w:val="275317" w:themeColor="accent6" w:themeShade="80"/>
        </w:rPr>
      </w:pPr>
    </w:p>
    <w:p w14:paraId="4AED4166" w14:textId="77777777" w:rsidR="00891530" w:rsidRPr="00891530" w:rsidRDefault="00891530" w:rsidP="00E1521D">
      <w:pPr>
        <w:jc w:val="both"/>
        <w:rPr>
          <w:b/>
          <w:bCs/>
        </w:rPr>
      </w:pPr>
    </w:p>
    <w:p w14:paraId="61F538E9" w14:textId="77777777" w:rsidR="00891530" w:rsidRPr="00891530" w:rsidRDefault="00891530" w:rsidP="00E1521D">
      <w:pPr>
        <w:jc w:val="both"/>
        <w:rPr>
          <w:b/>
          <w:bCs/>
        </w:rPr>
      </w:pPr>
    </w:p>
    <w:p w14:paraId="1795251A" w14:textId="77777777" w:rsidR="00891530" w:rsidRPr="00891530" w:rsidRDefault="00891530" w:rsidP="00E1521D">
      <w:pPr>
        <w:jc w:val="both"/>
        <w:rPr>
          <w:b/>
          <w:bCs/>
        </w:rPr>
      </w:pPr>
    </w:p>
    <w:p w14:paraId="4FBD23D8" w14:textId="77777777" w:rsidR="00891530" w:rsidRPr="00891530" w:rsidRDefault="00891530" w:rsidP="00E1521D">
      <w:pPr>
        <w:jc w:val="both"/>
        <w:rPr>
          <w:b/>
          <w:bCs/>
        </w:rPr>
      </w:pPr>
      <w:r w:rsidRPr="00891530">
        <w:rPr>
          <w:b/>
          <w:bCs/>
        </w:rPr>
        <w:lastRenderedPageBreak/>
        <w:t xml:space="preserve">Consulta No. xx. Según lo indicado en la reunión presencial el día 17 de abril del 2026; se aproxima una licitación para sistemas de tele gestión. Con esto en consideración, se solicita agregar en los PDGT, la necesidad de que el driver sea controlable con 0-10 o DALI. Con esta solicitud incluida en los PDGT, el contratante se asegura de que las luminarias a adquirir en este pliego licitatorio serán </w:t>
      </w:r>
      <w:proofErr w:type="gramStart"/>
      <w:r w:rsidRPr="00891530">
        <w:rPr>
          <w:b/>
          <w:bCs/>
        </w:rPr>
        <w:t>compatible</w:t>
      </w:r>
      <w:proofErr w:type="gramEnd"/>
      <w:r w:rsidRPr="00891530">
        <w:rPr>
          <w:b/>
          <w:bCs/>
        </w:rPr>
        <w:t xml:space="preserve"> con controles de iluminación. </w:t>
      </w:r>
    </w:p>
    <w:p w14:paraId="261507A9" w14:textId="77777777" w:rsidR="00891530" w:rsidRPr="00891530" w:rsidRDefault="00891530" w:rsidP="00E1521D">
      <w:pPr>
        <w:jc w:val="both"/>
        <w:rPr>
          <w:b/>
          <w:bCs/>
        </w:rPr>
      </w:pPr>
    </w:p>
    <w:p w14:paraId="0FD3B158" w14:textId="77777777" w:rsidR="00891530" w:rsidRPr="00891530" w:rsidRDefault="00891530" w:rsidP="00E1521D">
      <w:pPr>
        <w:jc w:val="both"/>
        <w:rPr>
          <w:b/>
          <w:bCs/>
        </w:rPr>
      </w:pPr>
      <w:r w:rsidRPr="002E7DDB">
        <w:rPr>
          <w:b/>
          <w:bCs/>
          <w:highlight w:val="green"/>
        </w:rPr>
        <w:t>Respuesta:</w:t>
      </w:r>
    </w:p>
    <w:p w14:paraId="4747335E" w14:textId="2B803754" w:rsidR="00891530" w:rsidRPr="00F539B2" w:rsidRDefault="00F539B2" w:rsidP="00E1521D">
      <w:pPr>
        <w:jc w:val="both"/>
        <w:rPr>
          <w:rFonts w:ascii="Cambria" w:hAnsi="Cambria"/>
          <w:color w:val="275317" w:themeColor="accent6" w:themeShade="80"/>
        </w:rPr>
      </w:pPr>
      <w:r>
        <w:rPr>
          <w:rFonts w:ascii="Cambria" w:hAnsi="Cambria"/>
          <w:color w:val="275317" w:themeColor="accent6" w:themeShade="80"/>
        </w:rPr>
        <w:t xml:space="preserve">Los drivers deberán ser </w:t>
      </w:r>
      <w:r w:rsidR="00CE225D">
        <w:rPr>
          <w:rFonts w:ascii="Cambria" w:hAnsi="Cambria"/>
          <w:color w:val="275317" w:themeColor="accent6" w:themeShade="80"/>
        </w:rPr>
        <w:t>regulables</w:t>
      </w:r>
      <w:r w:rsidR="002E7DDB">
        <w:rPr>
          <w:rFonts w:ascii="Cambria" w:hAnsi="Cambria"/>
          <w:color w:val="275317" w:themeColor="accent6" w:themeShade="80"/>
        </w:rPr>
        <w:t xml:space="preserve">, esta característica </w:t>
      </w:r>
      <w:r w:rsidR="009612BC">
        <w:rPr>
          <w:rFonts w:ascii="Cambria" w:hAnsi="Cambria"/>
          <w:color w:val="275317" w:themeColor="accent6" w:themeShade="80"/>
        </w:rPr>
        <w:t>estará</w:t>
      </w:r>
      <w:r w:rsidR="002E7DDB">
        <w:rPr>
          <w:rFonts w:ascii="Cambria" w:hAnsi="Cambria"/>
          <w:color w:val="275317" w:themeColor="accent6" w:themeShade="80"/>
        </w:rPr>
        <w:t xml:space="preserve"> prevista en la PDGT</w:t>
      </w:r>
      <w:r w:rsidRPr="00F539B2">
        <w:rPr>
          <w:rFonts w:ascii="Cambria" w:hAnsi="Cambria"/>
          <w:color w:val="275317" w:themeColor="accent6" w:themeShade="80"/>
        </w:rPr>
        <w:t>.</w:t>
      </w:r>
    </w:p>
    <w:p w14:paraId="0745E21F" w14:textId="77777777" w:rsidR="00891530" w:rsidRPr="00891530" w:rsidRDefault="00891530" w:rsidP="00E1521D">
      <w:pPr>
        <w:jc w:val="both"/>
        <w:rPr>
          <w:b/>
          <w:bCs/>
        </w:rPr>
      </w:pPr>
    </w:p>
    <w:p w14:paraId="1F0075BD" w14:textId="77777777" w:rsidR="00891530" w:rsidRPr="00891530" w:rsidRDefault="00891530" w:rsidP="00E1521D">
      <w:pPr>
        <w:jc w:val="both"/>
        <w:rPr>
          <w:b/>
          <w:bCs/>
        </w:rPr>
      </w:pPr>
      <w:r w:rsidRPr="00891530">
        <w:rPr>
          <w:b/>
          <w:bCs/>
        </w:rPr>
        <w:t xml:space="preserve">Consulta No. xx. Considerando que las luminarias de emergencia para exteriores no son un producto común para la mayoría de los fabricantes internacionales, solicitamos su consideración a brindar una extensión de 30-60 días para presentar las pruebas técnicas correspondientes a cada tamaño de luminario solicitado para las luminarias de emergencia. Esto permite la mayor participación de oferentes posibles. </w:t>
      </w:r>
    </w:p>
    <w:p w14:paraId="6FB18928" w14:textId="77777777" w:rsidR="00891530" w:rsidRPr="00891530" w:rsidRDefault="00891530" w:rsidP="00E1521D">
      <w:pPr>
        <w:jc w:val="both"/>
        <w:rPr>
          <w:b/>
          <w:bCs/>
        </w:rPr>
      </w:pPr>
    </w:p>
    <w:p w14:paraId="08E7B7E6" w14:textId="77777777" w:rsidR="00891530" w:rsidRPr="00891530" w:rsidRDefault="00891530" w:rsidP="00E1521D">
      <w:pPr>
        <w:jc w:val="both"/>
        <w:rPr>
          <w:b/>
          <w:bCs/>
        </w:rPr>
      </w:pPr>
      <w:r w:rsidRPr="009612BC">
        <w:rPr>
          <w:b/>
          <w:bCs/>
          <w:highlight w:val="green"/>
        </w:rPr>
        <w:t>Respuesta:</w:t>
      </w:r>
    </w:p>
    <w:p w14:paraId="3FE70C77" w14:textId="41B1BC4E" w:rsidR="00F539B2" w:rsidRDefault="00F539B2" w:rsidP="00AE78D8">
      <w:pPr>
        <w:jc w:val="both"/>
        <w:rPr>
          <w:u w:val="single"/>
        </w:rPr>
      </w:pPr>
      <w:r w:rsidRPr="000F1A93">
        <w:rPr>
          <w:rFonts w:ascii="Cambria" w:hAnsi="Cambria"/>
          <w:color w:val="275317" w:themeColor="accent6" w:themeShade="80"/>
        </w:rPr>
        <w:t xml:space="preserve">Las muestras se solicitarán tras </w:t>
      </w:r>
      <w:r>
        <w:rPr>
          <w:rFonts w:ascii="Cambria" w:hAnsi="Cambria"/>
          <w:color w:val="275317" w:themeColor="accent6" w:themeShade="80"/>
        </w:rPr>
        <w:t>la</w:t>
      </w:r>
      <w:r w:rsidRPr="000F1A93">
        <w:rPr>
          <w:rFonts w:ascii="Cambria" w:hAnsi="Cambria"/>
          <w:color w:val="275317" w:themeColor="accent6" w:themeShade="80"/>
        </w:rPr>
        <w:t xml:space="preserve"> adjudicación parcial y antes de la adjudicación definitiva; para cada lote, la entidad contratante indicará las unidades y características requeridas de los equipos de muestra, otorgando además un plazo suficiente para su </w:t>
      </w:r>
      <w:r w:rsidRPr="009612BC">
        <w:rPr>
          <w:rFonts w:ascii="Cambria" w:hAnsi="Cambria"/>
          <w:color w:val="275317" w:themeColor="accent6" w:themeShade="80"/>
        </w:rPr>
        <w:t>entrega.</w:t>
      </w:r>
      <w:r w:rsidR="00AE78D8" w:rsidRPr="009612BC">
        <w:rPr>
          <w:rFonts w:ascii="Cambria" w:hAnsi="Cambria"/>
          <w:color w:val="275317" w:themeColor="accent6" w:themeShade="80"/>
        </w:rPr>
        <w:t xml:space="preserve"> Se entregará una muestra de cada </w:t>
      </w:r>
      <w:r w:rsidR="009612BC">
        <w:rPr>
          <w:rFonts w:ascii="Cambria" w:hAnsi="Cambria"/>
          <w:color w:val="275317" w:themeColor="accent6" w:themeShade="80"/>
        </w:rPr>
        <w:t xml:space="preserve">potencia </w:t>
      </w:r>
      <w:r w:rsidR="00AE78D8" w:rsidRPr="009612BC">
        <w:rPr>
          <w:rFonts w:ascii="Cambria" w:hAnsi="Cambria"/>
          <w:color w:val="275317" w:themeColor="accent6" w:themeShade="80"/>
        </w:rPr>
        <w:t xml:space="preserve">ofertada en el plazo de </w:t>
      </w:r>
      <w:r w:rsidR="009612BC">
        <w:rPr>
          <w:rFonts w:ascii="Cambria" w:hAnsi="Cambria"/>
          <w:color w:val="275317" w:themeColor="accent6" w:themeShade="80"/>
        </w:rPr>
        <w:t>21 días calendario</w:t>
      </w:r>
      <w:r w:rsidR="00AE78D8" w:rsidRPr="009612BC">
        <w:rPr>
          <w:rFonts w:ascii="Cambria" w:hAnsi="Cambria"/>
          <w:color w:val="275317" w:themeColor="accent6" w:themeShade="80"/>
        </w:rPr>
        <w:t xml:space="preserve"> desde la adjudicación definitiva</w:t>
      </w:r>
      <w:r w:rsidR="009612BC">
        <w:rPr>
          <w:rFonts w:ascii="Cambria" w:hAnsi="Cambria"/>
          <w:color w:val="275317" w:themeColor="accent6" w:themeShade="80"/>
        </w:rPr>
        <w:t>.</w:t>
      </w:r>
    </w:p>
    <w:p w14:paraId="07B32292" w14:textId="77777777" w:rsidR="00F539B2" w:rsidRPr="00891530" w:rsidRDefault="00F539B2" w:rsidP="00E1521D">
      <w:pPr>
        <w:jc w:val="both"/>
        <w:rPr>
          <w:b/>
          <w:bCs/>
        </w:rPr>
      </w:pPr>
    </w:p>
    <w:p w14:paraId="15208CA2" w14:textId="77777777" w:rsidR="00891530" w:rsidRPr="00E05294" w:rsidRDefault="00891530" w:rsidP="00E1521D">
      <w:pPr>
        <w:jc w:val="both"/>
        <w:rPr>
          <w:b/>
          <w:bCs/>
        </w:rPr>
      </w:pPr>
      <w:r w:rsidRPr="00E05294">
        <w:rPr>
          <w:b/>
          <w:bCs/>
        </w:rPr>
        <w:t>Consulta No. xx. Considerando que el pliego no solicita muestras, pero el PDGT indica muestra requerida para potencias concretas de 30W-240W y que la posibilidad de que todos los oferentes tengan como producto estándar todas estas potencias son difícil: Solicitamos su consideración para en el caso de requerir entregas de muestras antes del 20 de mayo, fecha de cierre de ofertas, que cada oferente pueda presentar muestras que acrediten su capacidad técnica y calidad constructiva según documentación entregada de respaldo. Esto permitiría que cada oferente entregue 1 sola muestra como evidencia en lugar de 14 muestras + 10 muestras de emergencia.</w:t>
      </w:r>
    </w:p>
    <w:p w14:paraId="1CBFD821" w14:textId="77777777" w:rsidR="00891530" w:rsidRPr="00E05294" w:rsidRDefault="00891530" w:rsidP="00E1521D">
      <w:pPr>
        <w:jc w:val="both"/>
        <w:rPr>
          <w:b/>
          <w:bCs/>
        </w:rPr>
      </w:pPr>
    </w:p>
    <w:p w14:paraId="1E8B42CC" w14:textId="77777777" w:rsidR="009612BC" w:rsidRPr="00891530" w:rsidRDefault="009612BC" w:rsidP="009612BC">
      <w:pPr>
        <w:jc w:val="both"/>
        <w:rPr>
          <w:b/>
          <w:bCs/>
        </w:rPr>
      </w:pPr>
      <w:r w:rsidRPr="009612BC">
        <w:rPr>
          <w:b/>
          <w:bCs/>
          <w:highlight w:val="green"/>
        </w:rPr>
        <w:t>Respuesta:</w:t>
      </w:r>
    </w:p>
    <w:p w14:paraId="5F8E4F05" w14:textId="77777777" w:rsidR="009612BC" w:rsidRDefault="009612BC" w:rsidP="009612BC">
      <w:pPr>
        <w:jc w:val="both"/>
        <w:rPr>
          <w:u w:val="single"/>
        </w:rPr>
      </w:pPr>
      <w:r w:rsidRPr="000F1A93">
        <w:rPr>
          <w:rFonts w:ascii="Cambria" w:hAnsi="Cambria"/>
          <w:color w:val="275317" w:themeColor="accent6" w:themeShade="80"/>
        </w:rPr>
        <w:t xml:space="preserve">Las muestras se solicitarán tras </w:t>
      </w:r>
      <w:r>
        <w:rPr>
          <w:rFonts w:ascii="Cambria" w:hAnsi="Cambria"/>
          <w:color w:val="275317" w:themeColor="accent6" w:themeShade="80"/>
        </w:rPr>
        <w:t>la</w:t>
      </w:r>
      <w:r w:rsidRPr="000F1A93">
        <w:rPr>
          <w:rFonts w:ascii="Cambria" w:hAnsi="Cambria"/>
          <w:color w:val="275317" w:themeColor="accent6" w:themeShade="80"/>
        </w:rPr>
        <w:t xml:space="preserve"> adjudicación parcial y antes de la adjudicación definitiva; para cada lote, la entidad contratante indicará las unidades y características requeridas de los equipos de muestra, otorgando además un plazo suficiente para su </w:t>
      </w:r>
      <w:r w:rsidRPr="009612BC">
        <w:rPr>
          <w:rFonts w:ascii="Cambria" w:hAnsi="Cambria"/>
          <w:color w:val="275317" w:themeColor="accent6" w:themeShade="80"/>
        </w:rPr>
        <w:t xml:space="preserve">entrega. Se entregará una muestra de cada </w:t>
      </w:r>
      <w:r>
        <w:rPr>
          <w:rFonts w:ascii="Cambria" w:hAnsi="Cambria"/>
          <w:color w:val="275317" w:themeColor="accent6" w:themeShade="80"/>
        </w:rPr>
        <w:t xml:space="preserve">potencia </w:t>
      </w:r>
      <w:r w:rsidRPr="009612BC">
        <w:rPr>
          <w:rFonts w:ascii="Cambria" w:hAnsi="Cambria"/>
          <w:color w:val="275317" w:themeColor="accent6" w:themeShade="80"/>
        </w:rPr>
        <w:t xml:space="preserve">ofertada en el plazo de </w:t>
      </w:r>
      <w:r>
        <w:rPr>
          <w:rFonts w:ascii="Cambria" w:hAnsi="Cambria"/>
          <w:color w:val="275317" w:themeColor="accent6" w:themeShade="80"/>
        </w:rPr>
        <w:t>21 días calendario</w:t>
      </w:r>
      <w:r w:rsidRPr="009612BC">
        <w:rPr>
          <w:rFonts w:ascii="Cambria" w:hAnsi="Cambria"/>
          <w:color w:val="275317" w:themeColor="accent6" w:themeShade="80"/>
        </w:rPr>
        <w:t xml:space="preserve"> desde la adjudicación definitiva</w:t>
      </w:r>
      <w:r>
        <w:rPr>
          <w:rFonts w:ascii="Cambria" w:hAnsi="Cambria"/>
          <w:color w:val="275317" w:themeColor="accent6" w:themeShade="80"/>
        </w:rPr>
        <w:t>.</w:t>
      </w:r>
    </w:p>
    <w:p w14:paraId="3BC24622" w14:textId="77777777" w:rsidR="00891530" w:rsidRPr="00891530" w:rsidRDefault="00891530" w:rsidP="00E1521D">
      <w:pPr>
        <w:jc w:val="both"/>
        <w:rPr>
          <w:b/>
          <w:bCs/>
        </w:rPr>
      </w:pPr>
    </w:p>
    <w:p w14:paraId="27095687" w14:textId="77777777" w:rsidR="00891530" w:rsidRPr="009612BC" w:rsidRDefault="00891530" w:rsidP="00E1521D">
      <w:pPr>
        <w:jc w:val="both"/>
        <w:rPr>
          <w:b/>
          <w:bCs/>
        </w:rPr>
      </w:pPr>
      <w:r w:rsidRPr="009612BC">
        <w:rPr>
          <w:b/>
          <w:bCs/>
        </w:rPr>
        <w:t xml:space="preserve">Consulta No. xx. Considerando que no existe en el mundo normativas que regulan el tema de iluminación de emergencia para alumbrado público, sugerimos utilizar como referencia las normas existentes para alumbrado de interiores tales como la UL 924 y la ISO 30061 que norman los tiempos por los que debe funcionar el sistema en modo de emergencia y los niveles mínimos de iluminación a obtener. Es decir, una duración de 90 minutos. </w:t>
      </w:r>
    </w:p>
    <w:p w14:paraId="2C493A28" w14:textId="77777777" w:rsidR="00891530" w:rsidRPr="009612BC" w:rsidRDefault="00891530" w:rsidP="00E1521D">
      <w:pPr>
        <w:jc w:val="both"/>
        <w:rPr>
          <w:b/>
          <w:bCs/>
        </w:rPr>
      </w:pPr>
    </w:p>
    <w:p w14:paraId="1048E474" w14:textId="77777777" w:rsidR="00891530" w:rsidRPr="00891530" w:rsidRDefault="00891530" w:rsidP="00E1521D">
      <w:pPr>
        <w:jc w:val="both"/>
        <w:rPr>
          <w:b/>
          <w:bCs/>
        </w:rPr>
      </w:pPr>
      <w:r w:rsidRPr="009612BC">
        <w:rPr>
          <w:b/>
          <w:bCs/>
        </w:rPr>
        <w:t>Respuesta:</w:t>
      </w:r>
    </w:p>
    <w:p w14:paraId="5770FA66" w14:textId="2680E546" w:rsidR="00891530" w:rsidRPr="007408E8" w:rsidRDefault="007408E8" w:rsidP="00E1521D">
      <w:pPr>
        <w:jc w:val="both"/>
        <w:rPr>
          <w:rFonts w:ascii="Cambria" w:hAnsi="Cambria"/>
          <w:color w:val="275317" w:themeColor="accent6" w:themeShade="80"/>
        </w:rPr>
      </w:pPr>
      <w:r w:rsidRPr="007408E8">
        <w:rPr>
          <w:rFonts w:ascii="Cambria" w:hAnsi="Cambria"/>
          <w:color w:val="275317" w:themeColor="accent6" w:themeShade="80"/>
        </w:rPr>
        <w:lastRenderedPageBreak/>
        <w:t xml:space="preserve">No se requieren </w:t>
      </w:r>
      <w:r w:rsidR="00AE78D8">
        <w:rPr>
          <w:rFonts w:ascii="Cambria" w:hAnsi="Cambria"/>
          <w:color w:val="275317" w:themeColor="accent6" w:themeShade="80"/>
        </w:rPr>
        <w:t xml:space="preserve">certificaciones en este sentido, </w:t>
      </w:r>
      <w:r w:rsidRPr="007408E8">
        <w:rPr>
          <w:rFonts w:ascii="Cambria" w:hAnsi="Cambria"/>
          <w:color w:val="275317" w:themeColor="accent6" w:themeShade="80"/>
        </w:rPr>
        <w:t>n</w:t>
      </w:r>
      <w:r w:rsidR="00AE78D8">
        <w:rPr>
          <w:rFonts w:ascii="Cambria" w:hAnsi="Cambria"/>
          <w:color w:val="275317" w:themeColor="accent6" w:themeShade="80"/>
        </w:rPr>
        <w:t>i</w:t>
      </w:r>
      <w:r w:rsidRPr="007408E8">
        <w:rPr>
          <w:rFonts w:ascii="Cambria" w:hAnsi="Cambria"/>
          <w:color w:val="275317" w:themeColor="accent6" w:themeShade="80"/>
        </w:rPr>
        <w:t xml:space="preserve"> una autonomía concreta, se requiere una capacidad de batería.</w:t>
      </w:r>
    </w:p>
    <w:p w14:paraId="3A744770" w14:textId="77777777" w:rsidR="00891530" w:rsidRPr="00891530" w:rsidRDefault="00891530" w:rsidP="00E1521D">
      <w:pPr>
        <w:jc w:val="both"/>
        <w:rPr>
          <w:b/>
          <w:bCs/>
        </w:rPr>
      </w:pPr>
    </w:p>
    <w:p w14:paraId="19E5691C" w14:textId="77777777" w:rsidR="00891530" w:rsidRPr="00891530" w:rsidRDefault="00891530" w:rsidP="00E1521D">
      <w:pPr>
        <w:jc w:val="both"/>
        <w:rPr>
          <w:b/>
          <w:bCs/>
        </w:rPr>
      </w:pPr>
      <w:r w:rsidRPr="00891530">
        <w:rPr>
          <w:b/>
          <w:bCs/>
        </w:rPr>
        <w:t xml:space="preserve">Consulta No. xx. Se solicita considerar que los resultados de las pruebas de laboratorio sean aceptados en idioma inglés siempre y cuando estas incluyan la firma y sello de la entidad tercera acreditada internacionalmente para emitir dichos resultados. Esto garantiza la autenticidad de los documentos presentados y evita que la traducción técnica sea mal interpretada por la complejidad técnica que requiere dicha traducción. Esta es una práctica aceptada en entidades </w:t>
      </w:r>
      <w:proofErr w:type="spellStart"/>
      <w:r w:rsidRPr="00891530">
        <w:rPr>
          <w:b/>
          <w:bCs/>
        </w:rPr>
        <w:t>publicas</w:t>
      </w:r>
      <w:proofErr w:type="spellEnd"/>
      <w:r w:rsidRPr="00891530">
        <w:rPr>
          <w:b/>
          <w:bCs/>
        </w:rPr>
        <w:t xml:space="preserve"> como ICE, CNFL, JASEC en Costa Rica, ENSA y </w:t>
      </w:r>
      <w:proofErr w:type="spellStart"/>
      <w:r w:rsidRPr="00891530">
        <w:rPr>
          <w:b/>
          <w:bCs/>
        </w:rPr>
        <w:t>Naturgy</w:t>
      </w:r>
      <w:proofErr w:type="spellEnd"/>
      <w:r w:rsidRPr="00891530">
        <w:rPr>
          <w:b/>
          <w:bCs/>
        </w:rPr>
        <w:t xml:space="preserve"> en Panamá, ENEL, EPM, EMCALI, ELECTROBUCARAMANGA en Colombia y CENEL, ELECTRICA QUITO, ELECTRICA AMBATO y ELECTRICA GUAYAQUIL en Ecuador. </w:t>
      </w:r>
    </w:p>
    <w:p w14:paraId="10FE0D59" w14:textId="77777777" w:rsidR="00891530" w:rsidRPr="00891530" w:rsidRDefault="00891530" w:rsidP="00E1521D">
      <w:pPr>
        <w:jc w:val="both"/>
        <w:rPr>
          <w:b/>
          <w:bCs/>
        </w:rPr>
      </w:pPr>
    </w:p>
    <w:p w14:paraId="7D52CF51" w14:textId="77777777" w:rsidR="00891530" w:rsidRPr="00891530" w:rsidRDefault="00891530" w:rsidP="00E1521D">
      <w:pPr>
        <w:jc w:val="both"/>
        <w:rPr>
          <w:b/>
          <w:bCs/>
        </w:rPr>
      </w:pPr>
      <w:r w:rsidRPr="00891530">
        <w:rPr>
          <w:b/>
          <w:bCs/>
        </w:rPr>
        <w:t xml:space="preserve">Respuesta: </w:t>
      </w:r>
    </w:p>
    <w:p w14:paraId="6CE85B45" w14:textId="20EAA7F6" w:rsidR="00891530" w:rsidRPr="00F76E2D" w:rsidRDefault="007408E8" w:rsidP="00E1521D">
      <w:pPr>
        <w:jc w:val="both"/>
        <w:rPr>
          <w:rFonts w:ascii="Cambria" w:hAnsi="Cambria"/>
          <w:color w:val="275317" w:themeColor="accent6" w:themeShade="80"/>
        </w:rPr>
      </w:pPr>
      <w:r>
        <w:rPr>
          <w:rFonts w:ascii="Cambria" w:hAnsi="Cambria"/>
          <w:color w:val="275317" w:themeColor="accent6" w:themeShade="80"/>
        </w:rPr>
        <w:t>Se solicita documentación en español o traducción oficial</w:t>
      </w:r>
      <w:r w:rsidRPr="009612BC">
        <w:rPr>
          <w:rFonts w:ascii="Cambria" w:hAnsi="Cambria"/>
          <w:color w:val="275317" w:themeColor="accent6" w:themeShade="80"/>
          <w:highlight w:val="red"/>
        </w:rPr>
        <w:t>.</w:t>
      </w:r>
      <w:r w:rsidR="009612BC" w:rsidRPr="009612BC">
        <w:rPr>
          <w:rFonts w:ascii="Cambria" w:hAnsi="Cambria"/>
          <w:color w:val="275317" w:themeColor="accent6" w:themeShade="80"/>
          <w:highlight w:val="red"/>
        </w:rPr>
        <w:t xml:space="preserve"> (validar respuesta por la especialista de adquisiciones)</w:t>
      </w:r>
    </w:p>
    <w:p w14:paraId="29026838" w14:textId="77777777" w:rsidR="00891530" w:rsidRPr="00891530" w:rsidRDefault="00891530" w:rsidP="00E1521D">
      <w:pPr>
        <w:jc w:val="both"/>
        <w:rPr>
          <w:b/>
          <w:bCs/>
        </w:rPr>
      </w:pPr>
    </w:p>
    <w:p w14:paraId="5C64F373" w14:textId="77777777" w:rsidR="00891530" w:rsidRPr="00891530" w:rsidRDefault="00891530" w:rsidP="00E1521D">
      <w:pPr>
        <w:jc w:val="both"/>
        <w:rPr>
          <w:b/>
          <w:bCs/>
        </w:rPr>
      </w:pPr>
      <w:r w:rsidRPr="00891530">
        <w:rPr>
          <w:b/>
          <w:bCs/>
        </w:rPr>
        <w:t>Consulta No. xx. Con el objetivo de dimensionar el ciclo de vida de las baterías, favor compartir el número de cortes energéticos anuales y el horario en el que suelen suceder para definir la cantidad de años de garantía aplicable a la batería por parte de cada oferente.</w:t>
      </w:r>
    </w:p>
    <w:p w14:paraId="27DC6B14" w14:textId="77777777" w:rsidR="00891530" w:rsidRPr="00891530" w:rsidRDefault="00891530" w:rsidP="00E1521D">
      <w:pPr>
        <w:jc w:val="both"/>
        <w:rPr>
          <w:b/>
          <w:bCs/>
        </w:rPr>
      </w:pPr>
    </w:p>
    <w:p w14:paraId="4E04B21C" w14:textId="77777777" w:rsidR="00891530" w:rsidRPr="00891530" w:rsidRDefault="00891530" w:rsidP="00E1521D">
      <w:pPr>
        <w:jc w:val="both"/>
        <w:rPr>
          <w:b/>
          <w:bCs/>
        </w:rPr>
      </w:pPr>
      <w:r w:rsidRPr="00891530">
        <w:rPr>
          <w:b/>
          <w:bCs/>
        </w:rPr>
        <w:t>Respuesta:</w:t>
      </w:r>
    </w:p>
    <w:p w14:paraId="2531BFD4" w14:textId="58FA720C" w:rsidR="00891530" w:rsidRPr="00F76E2D" w:rsidRDefault="006A1600" w:rsidP="00E1521D">
      <w:pPr>
        <w:jc w:val="both"/>
        <w:rPr>
          <w:rFonts w:ascii="Cambria" w:hAnsi="Cambria"/>
          <w:color w:val="275317" w:themeColor="accent6" w:themeShade="80"/>
        </w:rPr>
      </w:pPr>
      <w:r w:rsidRPr="009612BC">
        <w:rPr>
          <w:rFonts w:ascii="Cambria" w:hAnsi="Cambria"/>
          <w:color w:val="275317" w:themeColor="accent6" w:themeShade="80"/>
        </w:rPr>
        <w:t xml:space="preserve">Esta información es pública y se puede </w:t>
      </w:r>
      <w:r w:rsidR="009612BC">
        <w:rPr>
          <w:rFonts w:ascii="Cambria" w:hAnsi="Cambria"/>
          <w:color w:val="275317" w:themeColor="accent6" w:themeShade="80"/>
        </w:rPr>
        <w:t>obtener a través de la página web de la Superintendencia de Electricidad</w:t>
      </w:r>
      <w:r w:rsidRPr="009612BC">
        <w:rPr>
          <w:rFonts w:ascii="Cambria" w:hAnsi="Cambria"/>
          <w:color w:val="275317" w:themeColor="accent6" w:themeShade="80"/>
        </w:rPr>
        <w:t xml:space="preserve"> </w:t>
      </w:r>
      <w:r w:rsidR="009612BC">
        <w:rPr>
          <w:rFonts w:ascii="Cambria" w:hAnsi="Cambria"/>
          <w:color w:val="275317" w:themeColor="accent6" w:themeShade="80"/>
        </w:rPr>
        <w:t>(</w:t>
      </w:r>
      <w:r w:rsidRPr="009612BC">
        <w:rPr>
          <w:rFonts w:ascii="Cambria" w:hAnsi="Cambria"/>
          <w:color w:val="275317" w:themeColor="accent6" w:themeShade="80"/>
        </w:rPr>
        <w:t>SIE</w:t>
      </w:r>
      <w:r w:rsidR="009612BC">
        <w:rPr>
          <w:rFonts w:ascii="Cambria" w:hAnsi="Cambria"/>
          <w:color w:val="275317" w:themeColor="accent6" w:themeShade="80"/>
        </w:rPr>
        <w:t>).</w:t>
      </w:r>
    </w:p>
    <w:p w14:paraId="0098F1D3" w14:textId="77777777" w:rsidR="00891530" w:rsidRPr="00891530" w:rsidRDefault="00891530" w:rsidP="00E1521D">
      <w:pPr>
        <w:jc w:val="both"/>
        <w:rPr>
          <w:b/>
          <w:bCs/>
        </w:rPr>
      </w:pPr>
    </w:p>
    <w:p w14:paraId="0681DBE9" w14:textId="77777777" w:rsidR="00891530" w:rsidRPr="00891530" w:rsidRDefault="00891530" w:rsidP="00E1521D">
      <w:pPr>
        <w:jc w:val="both"/>
        <w:rPr>
          <w:b/>
          <w:bCs/>
        </w:rPr>
      </w:pPr>
      <w:r w:rsidRPr="00891530">
        <w:rPr>
          <w:b/>
          <w:bCs/>
        </w:rPr>
        <w:t>Consulta No. xx. Se solicita aclarar; ¿Cuál es el valor y criterio de valoración para las potencias no incluidas en esta comunicación (de 80W a 240W según PDGT)? Se lee en Sección III: Criterios de Evaluación y Calificación Cálculo del Factor de Desempeño de Luminarias (FDL) El Factor de Desempeño de Luminarias (FDL) es un índice compuesto que mide el desempeño técnico de las luminarias ofrecidas por cada licitante en relación con los requisitos mínimos establecidos en las especificaciones técnicas. Posteriormente, los resultados obtenidos para cada potencia se agregan mediante ponderaciones que reflejan la importancia relativa de cada tipo de luminaria dentro del proyecto.</w:t>
      </w:r>
    </w:p>
    <w:p w14:paraId="3EDE2C39" w14:textId="77777777" w:rsidR="00891530" w:rsidRPr="00891530" w:rsidRDefault="00891530" w:rsidP="00E1521D">
      <w:pPr>
        <w:jc w:val="both"/>
        <w:rPr>
          <w:b/>
          <w:bCs/>
        </w:rPr>
      </w:pPr>
      <w:r w:rsidRPr="00891530">
        <w:rPr>
          <w:b/>
          <w:bCs/>
          <w:noProof/>
          <w:lang w:val="es-ES" w:eastAsia="es-ES"/>
        </w:rPr>
        <w:drawing>
          <wp:inline distT="0" distB="0" distL="0" distR="0" wp14:anchorId="68159DC1" wp14:editId="2051DB65">
            <wp:extent cx="5400040" cy="2291715"/>
            <wp:effectExtent l="0" t="0" r="0" b="0"/>
            <wp:docPr id="19652822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282272" name=""/>
                    <pic:cNvPicPr/>
                  </pic:nvPicPr>
                  <pic:blipFill>
                    <a:blip r:embed="rId16"/>
                    <a:stretch>
                      <a:fillRect/>
                    </a:stretch>
                  </pic:blipFill>
                  <pic:spPr>
                    <a:xfrm>
                      <a:off x="0" y="0"/>
                      <a:ext cx="5400040" cy="2291715"/>
                    </a:xfrm>
                    <a:prstGeom prst="rect">
                      <a:avLst/>
                    </a:prstGeom>
                  </pic:spPr>
                </pic:pic>
              </a:graphicData>
            </a:graphic>
          </wp:inline>
        </w:drawing>
      </w:r>
    </w:p>
    <w:p w14:paraId="6C535CFB" w14:textId="77777777" w:rsidR="00891530" w:rsidRPr="00891530" w:rsidRDefault="00891530" w:rsidP="00E1521D">
      <w:pPr>
        <w:jc w:val="both"/>
        <w:rPr>
          <w:b/>
          <w:bCs/>
        </w:rPr>
      </w:pPr>
    </w:p>
    <w:p w14:paraId="5522F4B4" w14:textId="77777777" w:rsidR="00891530" w:rsidRPr="00891530" w:rsidRDefault="00891530" w:rsidP="00E1521D">
      <w:pPr>
        <w:jc w:val="both"/>
        <w:rPr>
          <w:b/>
          <w:bCs/>
        </w:rPr>
      </w:pPr>
      <w:r w:rsidRPr="00891530">
        <w:rPr>
          <w:b/>
          <w:bCs/>
        </w:rPr>
        <w:lastRenderedPageBreak/>
        <w:t>Respuesta:</w:t>
      </w:r>
    </w:p>
    <w:p w14:paraId="2DEE4C9D" w14:textId="77777777" w:rsidR="009612BC" w:rsidRPr="00891530" w:rsidRDefault="009612BC" w:rsidP="009612BC">
      <w:pPr>
        <w:jc w:val="both"/>
        <w:rPr>
          <w:b/>
          <w:bCs/>
        </w:rPr>
      </w:pPr>
      <w:r>
        <w:rPr>
          <w:rFonts w:ascii="Cambria" w:hAnsi="Cambria"/>
          <w:color w:val="275317" w:themeColor="accent6" w:themeShade="80"/>
        </w:rPr>
        <w:t>Este factor se mantiene en virtud del universo de las luminarias.</w:t>
      </w:r>
    </w:p>
    <w:p w14:paraId="1FCAB477" w14:textId="77777777" w:rsidR="00891530" w:rsidRPr="00891530" w:rsidRDefault="00891530" w:rsidP="00E1521D">
      <w:pPr>
        <w:jc w:val="both"/>
        <w:rPr>
          <w:b/>
          <w:bCs/>
        </w:rPr>
      </w:pPr>
    </w:p>
    <w:p w14:paraId="3E79EBE2" w14:textId="77777777" w:rsidR="00891530" w:rsidRPr="00891530" w:rsidRDefault="00891530" w:rsidP="00E1521D">
      <w:pPr>
        <w:jc w:val="both"/>
        <w:rPr>
          <w:b/>
          <w:bCs/>
        </w:rPr>
      </w:pPr>
      <w:r w:rsidRPr="00891530">
        <w:rPr>
          <w:b/>
          <w:bCs/>
        </w:rPr>
        <w:t xml:space="preserve">Consulta No. xx. ¿Se aceptan garantías de sostenimiento de oferta emitidas por instituciones afianzadoras mexicanas, o es requisito que dichas garantías sean emitidas por una entidad local en la República Dominicana o por un banco internacional aceptable para el contratante? </w:t>
      </w:r>
    </w:p>
    <w:p w14:paraId="665B0ED9" w14:textId="77777777" w:rsidR="00891530" w:rsidRPr="00891530" w:rsidRDefault="00891530" w:rsidP="00E1521D">
      <w:pPr>
        <w:jc w:val="both"/>
        <w:rPr>
          <w:b/>
          <w:bCs/>
        </w:rPr>
      </w:pPr>
    </w:p>
    <w:p w14:paraId="4E557B30" w14:textId="77777777" w:rsidR="00891530" w:rsidRPr="00891530" w:rsidRDefault="00891530" w:rsidP="00E1521D">
      <w:pPr>
        <w:jc w:val="both"/>
        <w:rPr>
          <w:b/>
          <w:bCs/>
        </w:rPr>
      </w:pPr>
      <w:r w:rsidRPr="00891530">
        <w:rPr>
          <w:b/>
          <w:bCs/>
        </w:rPr>
        <w:t>Respuesta:</w:t>
      </w:r>
    </w:p>
    <w:p w14:paraId="79B22499" w14:textId="66AE9D9D" w:rsidR="00891530" w:rsidRPr="00FB5E68" w:rsidRDefault="00F76E2D" w:rsidP="00E1521D">
      <w:pPr>
        <w:jc w:val="both"/>
        <w:rPr>
          <w:rFonts w:ascii="Cambria" w:hAnsi="Cambria"/>
          <w:color w:val="275317" w:themeColor="accent6" w:themeShade="80"/>
        </w:rPr>
      </w:pPr>
      <w:r w:rsidRPr="00F76E2D">
        <w:rPr>
          <w:rFonts w:ascii="Cambria" w:hAnsi="Cambria"/>
          <w:color w:val="275317" w:themeColor="accent6" w:themeShade="80"/>
        </w:rPr>
        <w:t>Consulta administrativa</w:t>
      </w:r>
      <w:r w:rsidR="00FB5E68">
        <w:rPr>
          <w:rFonts w:ascii="Cambria" w:hAnsi="Cambria"/>
          <w:color w:val="275317" w:themeColor="accent6" w:themeShade="80"/>
        </w:rPr>
        <w:t>.</w:t>
      </w:r>
    </w:p>
    <w:p w14:paraId="4232F439" w14:textId="77777777" w:rsidR="00891530" w:rsidRPr="00891530" w:rsidRDefault="00891530" w:rsidP="00E1521D">
      <w:pPr>
        <w:jc w:val="both"/>
        <w:rPr>
          <w:b/>
          <w:bCs/>
        </w:rPr>
      </w:pPr>
    </w:p>
    <w:p w14:paraId="37D00540" w14:textId="77777777" w:rsidR="00891530" w:rsidRPr="00891530" w:rsidRDefault="00891530" w:rsidP="00E1521D">
      <w:pPr>
        <w:jc w:val="both"/>
        <w:rPr>
          <w:b/>
          <w:bCs/>
        </w:rPr>
      </w:pPr>
      <w:r w:rsidRPr="00891530">
        <w:rPr>
          <w:b/>
          <w:bCs/>
        </w:rPr>
        <w:t xml:space="preserve">Consulta No. xx. Se solicita amablemente aclarar si el monto de la garantía de sostenimiento de oferta debe presentarse por cada lote de forma individual o si debe cubrir el monto total de los lotes por los cuales el licitante presente oferta </w:t>
      </w:r>
    </w:p>
    <w:p w14:paraId="42663A39" w14:textId="77777777" w:rsidR="00891530" w:rsidRPr="00891530" w:rsidRDefault="00891530" w:rsidP="00E1521D">
      <w:pPr>
        <w:jc w:val="both"/>
        <w:rPr>
          <w:b/>
          <w:bCs/>
        </w:rPr>
      </w:pPr>
    </w:p>
    <w:p w14:paraId="66D46B9B" w14:textId="77777777" w:rsidR="00891530" w:rsidRPr="00891530" w:rsidRDefault="00891530" w:rsidP="00E1521D">
      <w:pPr>
        <w:jc w:val="both"/>
        <w:rPr>
          <w:b/>
          <w:bCs/>
        </w:rPr>
      </w:pPr>
      <w:r w:rsidRPr="00891530">
        <w:rPr>
          <w:b/>
          <w:bCs/>
        </w:rPr>
        <w:t>Respuesta:</w:t>
      </w:r>
    </w:p>
    <w:p w14:paraId="13553622" w14:textId="77777777" w:rsidR="00F76E2D" w:rsidRPr="00F76E2D" w:rsidRDefault="00F76E2D" w:rsidP="00E1521D">
      <w:pPr>
        <w:jc w:val="both"/>
        <w:rPr>
          <w:rFonts w:ascii="Cambria" w:hAnsi="Cambria"/>
          <w:color w:val="275317" w:themeColor="accent6" w:themeShade="80"/>
        </w:rPr>
      </w:pPr>
      <w:r w:rsidRPr="00F76E2D">
        <w:rPr>
          <w:rFonts w:ascii="Cambria" w:hAnsi="Cambria"/>
          <w:color w:val="275317" w:themeColor="accent6" w:themeShade="80"/>
        </w:rPr>
        <w:t>Consulta administrativa</w:t>
      </w:r>
    </w:p>
    <w:p w14:paraId="7E30FD69" w14:textId="77777777" w:rsidR="00891530" w:rsidRPr="00891530" w:rsidRDefault="00891530" w:rsidP="00E1521D">
      <w:pPr>
        <w:jc w:val="both"/>
        <w:rPr>
          <w:b/>
          <w:bCs/>
        </w:rPr>
      </w:pPr>
    </w:p>
    <w:p w14:paraId="38CF2ECE" w14:textId="77777777" w:rsidR="00891530" w:rsidRPr="00891530" w:rsidRDefault="00891530" w:rsidP="00E1521D">
      <w:pPr>
        <w:jc w:val="both"/>
        <w:rPr>
          <w:b/>
          <w:bCs/>
        </w:rPr>
      </w:pPr>
    </w:p>
    <w:p w14:paraId="7F4376FD" w14:textId="77777777" w:rsidR="00891530" w:rsidRPr="00FB5E68" w:rsidRDefault="00891530" w:rsidP="00E1521D">
      <w:pPr>
        <w:jc w:val="both"/>
        <w:rPr>
          <w:b/>
          <w:bCs/>
        </w:rPr>
      </w:pPr>
      <w:r w:rsidRPr="00FB5E68">
        <w:rPr>
          <w:b/>
          <w:bCs/>
        </w:rPr>
        <w:t xml:space="preserve">Consulta No. xx. </w:t>
      </w:r>
      <w:proofErr w:type="gramStart"/>
      <w:r w:rsidRPr="00FB5E68">
        <w:rPr>
          <w:b/>
          <w:bCs/>
        </w:rPr>
        <w:t>¿Los valores de potencia (W) establecidos en las especificaciones son estrictamente obligatorios o se consideran valores referenciales, permitiéndose propuestas con wattages equivalentes que garanticen el mismo o mejor desempeño lumínico (lúmenes, eficiencia, uniformidad, etc.).</w:t>
      </w:r>
      <w:proofErr w:type="gramEnd"/>
      <w:r w:rsidRPr="00FB5E68">
        <w:rPr>
          <w:b/>
          <w:bCs/>
        </w:rPr>
        <w:t xml:space="preserve"> </w:t>
      </w:r>
      <w:proofErr w:type="gramStart"/>
      <w:r w:rsidRPr="00FB5E68">
        <w:rPr>
          <w:b/>
          <w:bCs/>
        </w:rPr>
        <w:t>Existe un margen en la potencia?</w:t>
      </w:r>
      <w:proofErr w:type="gramEnd"/>
      <w:r w:rsidRPr="00FB5E68">
        <w:rPr>
          <w:b/>
          <w:bCs/>
        </w:rPr>
        <w:t xml:space="preserve"> </w:t>
      </w:r>
      <w:proofErr w:type="gramStart"/>
      <w:r w:rsidRPr="00FB5E68">
        <w:rPr>
          <w:b/>
          <w:bCs/>
        </w:rPr>
        <w:t>Ejemplo :</w:t>
      </w:r>
      <w:proofErr w:type="gramEnd"/>
      <w:r w:rsidRPr="00FB5E68">
        <w:rPr>
          <w:b/>
          <w:bCs/>
        </w:rPr>
        <w:t xml:space="preserve"> envés de 60W, utilizar 58W o 62W. </w:t>
      </w:r>
    </w:p>
    <w:p w14:paraId="5A38C62A" w14:textId="77777777" w:rsidR="00891530" w:rsidRPr="00FB5E68" w:rsidRDefault="00891530" w:rsidP="00E1521D">
      <w:pPr>
        <w:jc w:val="both"/>
        <w:rPr>
          <w:b/>
          <w:bCs/>
        </w:rPr>
      </w:pPr>
    </w:p>
    <w:p w14:paraId="4F1715A5" w14:textId="77777777" w:rsidR="00891530" w:rsidRPr="00FB5E68" w:rsidRDefault="00891530" w:rsidP="00E1521D">
      <w:pPr>
        <w:jc w:val="both"/>
        <w:rPr>
          <w:b/>
          <w:bCs/>
        </w:rPr>
      </w:pPr>
      <w:r w:rsidRPr="00FB5E68">
        <w:rPr>
          <w:b/>
          <w:bCs/>
        </w:rPr>
        <w:t>Respuesta:</w:t>
      </w:r>
    </w:p>
    <w:p w14:paraId="5A0D10C9" w14:textId="00FF1D16" w:rsidR="00891530" w:rsidRDefault="00CD6A6F" w:rsidP="00E1521D">
      <w:pPr>
        <w:jc w:val="both"/>
        <w:rPr>
          <w:rFonts w:ascii="Cambria" w:hAnsi="Cambria"/>
          <w:color w:val="275317" w:themeColor="accent6" w:themeShade="80"/>
        </w:rPr>
      </w:pPr>
      <w:r w:rsidRPr="00CD6A6F">
        <w:rPr>
          <w:rFonts w:ascii="Cambria" w:hAnsi="Cambria"/>
          <w:color w:val="275317" w:themeColor="accent6" w:themeShade="80"/>
        </w:rPr>
        <w:t xml:space="preserve">Los licitadores </w:t>
      </w:r>
      <w:r w:rsidR="001B5D32">
        <w:rPr>
          <w:rFonts w:ascii="Cambria" w:hAnsi="Cambria"/>
          <w:color w:val="275317" w:themeColor="accent6" w:themeShade="80"/>
        </w:rPr>
        <w:t>deberán respetar l</w:t>
      </w:r>
      <w:r w:rsidR="001B5D32" w:rsidRPr="001B5D32">
        <w:rPr>
          <w:rFonts w:ascii="Cambria" w:hAnsi="Cambria"/>
          <w:color w:val="275317" w:themeColor="accent6" w:themeShade="80"/>
        </w:rPr>
        <w:t>os valores de potencia (W) establecidos en las especificaciones</w:t>
      </w:r>
      <w:r w:rsidR="001B5D32" w:rsidRPr="00CD6A6F">
        <w:rPr>
          <w:rFonts w:ascii="Cambria" w:hAnsi="Cambria"/>
          <w:color w:val="275317" w:themeColor="accent6" w:themeShade="80"/>
        </w:rPr>
        <w:t xml:space="preserve"> </w:t>
      </w:r>
      <w:r w:rsidR="001B5D32">
        <w:rPr>
          <w:rFonts w:ascii="Cambria" w:hAnsi="Cambria"/>
          <w:color w:val="275317" w:themeColor="accent6" w:themeShade="80"/>
        </w:rPr>
        <w:t>técnicas del pliego y sus anexos.</w:t>
      </w:r>
    </w:p>
    <w:p w14:paraId="4249C9FC" w14:textId="77777777" w:rsidR="00891530" w:rsidRPr="00891530" w:rsidRDefault="00891530" w:rsidP="00E1521D">
      <w:pPr>
        <w:jc w:val="both"/>
        <w:rPr>
          <w:b/>
          <w:bCs/>
        </w:rPr>
      </w:pPr>
    </w:p>
    <w:p w14:paraId="23D68FA8" w14:textId="77777777" w:rsidR="00891530" w:rsidRPr="00E05294" w:rsidRDefault="00891530" w:rsidP="00E1521D">
      <w:pPr>
        <w:jc w:val="both"/>
        <w:rPr>
          <w:b/>
          <w:bCs/>
        </w:rPr>
      </w:pPr>
      <w:r w:rsidRPr="00E05294">
        <w:rPr>
          <w:b/>
          <w:bCs/>
        </w:rPr>
        <w:t xml:space="preserve">Consulta No. xx. Dado que la norma ISO 12944-2 (categoría C4) corresponde a una clasificación de ambientes corrosivos para sistemas de protección en acero, se solicita confirmar el criterio de evaluación aplicable para luminarias de aluminio, y si el cumplimiento deberá demostrarse mediante ensayos como ASTM B117 (niebla salina) o mediante especificaciones equivalentes de recubrimiento. </w:t>
      </w:r>
    </w:p>
    <w:p w14:paraId="7951E1F7" w14:textId="77777777" w:rsidR="00891530" w:rsidRPr="00E05294" w:rsidRDefault="00891530" w:rsidP="00E1521D">
      <w:pPr>
        <w:jc w:val="both"/>
        <w:rPr>
          <w:b/>
          <w:bCs/>
        </w:rPr>
      </w:pPr>
    </w:p>
    <w:p w14:paraId="5556BAF0" w14:textId="77777777" w:rsidR="00891530" w:rsidRPr="00E05294" w:rsidRDefault="00891530" w:rsidP="00E1521D">
      <w:pPr>
        <w:jc w:val="both"/>
        <w:rPr>
          <w:b/>
          <w:bCs/>
        </w:rPr>
      </w:pPr>
      <w:r w:rsidRPr="00E05294">
        <w:rPr>
          <w:b/>
          <w:bCs/>
        </w:rPr>
        <w:t>Respuesta:</w:t>
      </w:r>
    </w:p>
    <w:p w14:paraId="39F52B42" w14:textId="77777777" w:rsidR="00E05294" w:rsidRPr="00E05294" w:rsidRDefault="00E05294" w:rsidP="00E05294">
      <w:pPr>
        <w:jc w:val="both"/>
        <w:rPr>
          <w:rFonts w:ascii="Cambria" w:hAnsi="Cambria"/>
          <w:color w:val="275317" w:themeColor="accent6" w:themeShade="80"/>
        </w:rPr>
      </w:pPr>
      <w:r w:rsidRPr="00E05294">
        <w:rPr>
          <w:rFonts w:ascii="Cambria" w:hAnsi="Cambria"/>
          <w:color w:val="275317" w:themeColor="accent6" w:themeShade="80"/>
        </w:rPr>
        <w:t>Hay que tener en cuenta que los métodos de ensayo para la norma ISO 12944-2 incluye las normas ISO 9227 e ISO 6270-1(condensación de agua), cuyos métodos de ensayo se describen en la norma ISO 12944-6. Ambas normas son aplicables a todos los metales, incluido el aluminio. El rango de durabilidad no debe ser inferior a C4 medio.</w:t>
      </w:r>
    </w:p>
    <w:p w14:paraId="67041216" w14:textId="77777777" w:rsidR="00891530" w:rsidRPr="00891530" w:rsidRDefault="00891530" w:rsidP="00E1521D">
      <w:pPr>
        <w:jc w:val="both"/>
        <w:rPr>
          <w:b/>
          <w:bCs/>
        </w:rPr>
      </w:pPr>
    </w:p>
    <w:p w14:paraId="2236BD3F" w14:textId="77777777" w:rsidR="00891530" w:rsidRPr="00891530" w:rsidRDefault="00891530" w:rsidP="00E1521D">
      <w:pPr>
        <w:jc w:val="both"/>
        <w:rPr>
          <w:b/>
          <w:bCs/>
        </w:rPr>
      </w:pPr>
    </w:p>
    <w:p w14:paraId="2906D8E7" w14:textId="77777777" w:rsidR="00891530" w:rsidRPr="00FB5E68" w:rsidRDefault="00891530" w:rsidP="00E1521D">
      <w:pPr>
        <w:jc w:val="both"/>
        <w:rPr>
          <w:b/>
          <w:bCs/>
        </w:rPr>
      </w:pPr>
      <w:r w:rsidRPr="00FB5E68">
        <w:rPr>
          <w:b/>
          <w:bCs/>
        </w:rPr>
        <w:t xml:space="preserve">Consulta No. xx. Se solicita aclarar el criterio de comparación de desempeño lumínico, considerando que los valores de lúmenes en tecnologías tradicionales (sodio/mercurio) corresponden a la lámpara, mientras que en luminarias LED corresponden al sistema completo. ¿Se evaluará el cumplimiento en función de lúmenes efectivos del sistema o mediante niveles de iluminación (lux) en superficie conforme a la aplicación? </w:t>
      </w:r>
    </w:p>
    <w:p w14:paraId="06BBE68B" w14:textId="77777777" w:rsidR="00891530" w:rsidRPr="00F76E2D" w:rsidRDefault="00891530" w:rsidP="00E1521D">
      <w:pPr>
        <w:jc w:val="both"/>
        <w:rPr>
          <w:b/>
          <w:bCs/>
          <w:highlight w:val="yellow"/>
        </w:rPr>
      </w:pPr>
    </w:p>
    <w:p w14:paraId="7188270E" w14:textId="77777777" w:rsidR="00891530" w:rsidRPr="00891530" w:rsidRDefault="00891530" w:rsidP="00E1521D">
      <w:pPr>
        <w:jc w:val="both"/>
        <w:rPr>
          <w:b/>
          <w:bCs/>
        </w:rPr>
      </w:pPr>
      <w:r w:rsidRPr="00FB5E68">
        <w:rPr>
          <w:b/>
          <w:bCs/>
        </w:rPr>
        <w:t>Respuesta:</w:t>
      </w:r>
    </w:p>
    <w:p w14:paraId="0F4F25A5" w14:textId="121645E7" w:rsidR="00891530" w:rsidRPr="00D3135A" w:rsidRDefault="00D3135A" w:rsidP="00E1521D">
      <w:pPr>
        <w:jc w:val="both"/>
        <w:rPr>
          <w:rFonts w:ascii="Cambria" w:hAnsi="Cambria"/>
          <w:color w:val="275317" w:themeColor="accent6" w:themeShade="80"/>
        </w:rPr>
      </w:pPr>
      <w:r w:rsidRPr="00D3135A">
        <w:rPr>
          <w:rFonts w:ascii="Cambria" w:hAnsi="Cambria"/>
          <w:color w:val="275317" w:themeColor="accent6" w:themeShade="80"/>
        </w:rPr>
        <w:t>Se valorará en base a los parámetros que se definen en los criterios de valoración</w:t>
      </w:r>
    </w:p>
    <w:p w14:paraId="68B211E5" w14:textId="77777777" w:rsidR="00891530" w:rsidRPr="00891530" w:rsidRDefault="00891530" w:rsidP="00E1521D">
      <w:pPr>
        <w:jc w:val="both"/>
        <w:rPr>
          <w:b/>
          <w:bCs/>
        </w:rPr>
      </w:pPr>
    </w:p>
    <w:p w14:paraId="12655F9A" w14:textId="33858432" w:rsidR="00891530" w:rsidRPr="00801435" w:rsidRDefault="00891530" w:rsidP="00E1521D">
      <w:pPr>
        <w:jc w:val="both"/>
        <w:rPr>
          <w:b/>
          <w:bCs/>
          <w:highlight w:val="red"/>
        </w:rPr>
      </w:pPr>
      <w:r w:rsidRPr="00801435">
        <w:rPr>
          <w:b/>
          <w:bCs/>
          <w:highlight w:val="red"/>
        </w:rPr>
        <w:t>Consulta No. xx. Se solicita confirmar si las luminarias ofertadas deberán incorporar tecnología LED vigente y en producción activa por parte del fabricante, o si se permitirá el uso de módulos LED descontinuados en certificaciones existentes. Lo anterior en atención a criterios de sostenibilidad, mantenimiento a largo plazo y disponibilidad de componentes. Asimismo, se agradecerá confirmar que las especificaciones técnicas han sido definidas conforme a los principios de libre competencia establecidos en la Ley No. 340-06 y sus modificaciones, evitando condiciones que pudieran restringir la participación de oferentes.</w:t>
      </w:r>
    </w:p>
    <w:p w14:paraId="242D47F5" w14:textId="782E5B04" w:rsidR="0083683E" w:rsidRPr="00801435" w:rsidRDefault="0083683E" w:rsidP="00E1521D">
      <w:pPr>
        <w:jc w:val="both"/>
        <w:rPr>
          <w:b/>
          <w:bCs/>
          <w:highlight w:val="red"/>
        </w:rPr>
      </w:pPr>
    </w:p>
    <w:p w14:paraId="56114F84" w14:textId="77777777" w:rsidR="00891530" w:rsidRPr="00801435" w:rsidRDefault="00891530" w:rsidP="00E1521D">
      <w:pPr>
        <w:jc w:val="both"/>
        <w:rPr>
          <w:b/>
          <w:bCs/>
          <w:highlight w:val="red"/>
        </w:rPr>
      </w:pPr>
    </w:p>
    <w:p w14:paraId="71245A1C" w14:textId="77777777" w:rsidR="00891530" w:rsidRPr="00801435" w:rsidRDefault="00891530" w:rsidP="00E1521D">
      <w:pPr>
        <w:jc w:val="both"/>
        <w:rPr>
          <w:b/>
          <w:bCs/>
          <w:highlight w:val="red"/>
        </w:rPr>
      </w:pPr>
      <w:r w:rsidRPr="00801435">
        <w:rPr>
          <w:b/>
          <w:bCs/>
          <w:highlight w:val="red"/>
        </w:rPr>
        <w:t>Respuesta:</w:t>
      </w:r>
    </w:p>
    <w:p w14:paraId="1AA1D83D" w14:textId="20FBD6A7" w:rsidR="00891530" w:rsidRPr="00801435" w:rsidRDefault="00891530" w:rsidP="00E1521D">
      <w:pPr>
        <w:jc w:val="both"/>
        <w:rPr>
          <w:b/>
          <w:bCs/>
          <w:highlight w:val="red"/>
        </w:rPr>
      </w:pPr>
    </w:p>
    <w:p w14:paraId="11E78967" w14:textId="325BFFF3" w:rsidR="0076037A" w:rsidRPr="00385D26" w:rsidRDefault="0076037A" w:rsidP="0076037A">
      <w:pPr>
        <w:jc w:val="both"/>
        <w:rPr>
          <w:b/>
          <w:bCs/>
          <w:highlight w:val="yellow"/>
        </w:rPr>
      </w:pPr>
      <w:r w:rsidRPr="00801435">
        <w:rPr>
          <w:b/>
          <w:bCs/>
          <w:highlight w:val="red"/>
        </w:rPr>
        <w:t>Revisar por Peter, se deberá acreditar que los leds utilizados no están clasificados como EOL o NRND por parte del fabricante.</w:t>
      </w:r>
      <w:r w:rsidR="00385D26">
        <w:rPr>
          <w:b/>
          <w:bCs/>
          <w:highlight w:val="red"/>
        </w:rPr>
        <w:t xml:space="preserve"> </w:t>
      </w:r>
      <w:r w:rsidR="00385D26" w:rsidRPr="00385D26">
        <w:rPr>
          <w:b/>
          <w:bCs/>
          <w:highlight w:val="yellow"/>
        </w:rPr>
        <w:t>Verificar por la especialista de adquisiciones conforme a la respuesta esperada de Peter.</w:t>
      </w:r>
    </w:p>
    <w:p w14:paraId="78669177" w14:textId="77777777" w:rsidR="0076037A" w:rsidRPr="00891530" w:rsidRDefault="0076037A" w:rsidP="00E1521D">
      <w:pPr>
        <w:jc w:val="both"/>
        <w:rPr>
          <w:b/>
          <w:bCs/>
        </w:rPr>
      </w:pPr>
    </w:p>
    <w:p w14:paraId="4DF15D92" w14:textId="77777777" w:rsidR="00891530" w:rsidRPr="00891530" w:rsidRDefault="00891530" w:rsidP="00E1521D">
      <w:pPr>
        <w:jc w:val="both"/>
        <w:rPr>
          <w:b/>
          <w:bCs/>
        </w:rPr>
      </w:pPr>
      <w:r w:rsidRPr="00891530">
        <w:rPr>
          <w:b/>
          <w:bCs/>
        </w:rPr>
        <w:t xml:space="preserve">Consulta </w:t>
      </w:r>
      <w:proofErr w:type="spellStart"/>
      <w:proofErr w:type="gramStart"/>
      <w:r w:rsidRPr="00891530">
        <w:rPr>
          <w:b/>
          <w:bCs/>
        </w:rPr>
        <w:t>No.xx</w:t>
      </w:r>
      <w:proofErr w:type="spellEnd"/>
      <w:r w:rsidRPr="00891530">
        <w:rPr>
          <w:b/>
          <w:bCs/>
        </w:rPr>
        <w:t>.</w:t>
      </w:r>
      <w:proofErr w:type="gramEnd"/>
      <w:r w:rsidRPr="00891530">
        <w:rPr>
          <w:b/>
          <w:bCs/>
        </w:rPr>
        <w:t xml:space="preserve"> Se solicita aclarar la necesidad de una inclinación de 20° en las luminarias, considerando que, de acuerdo con prácticas estándar de la industria, las luminarias viales LED están diseñadas para operar en rangos de inclinación cercanos a -5° </w:t>
      </w:r>
      <w:proofErr w:type="gramStart"/>
      <w:r w:rsidRPr="00891530">
        <w:rPr>
          <w:b/>
          <w:bCs/>
        </w:rPr>
        <w:t>grados  ±</w:t>
      </w:r>
      <w:proofErr w:type="gramEnd"/>
      <w:r w:rsidRPr="00891530">
        <w:rPr>
          <w:b/>
          <w:bCs/>
        </w:rPr>
        <w:t>5°grados, optimizando así la distribución lumínica y reduciendo el deslumbramiento. Asimismo, considerando que se contempla la rehabilitación de brazos, se consulta si será aceptable el cumplimiento con este rango estándar.</w:t>
      </w:r>
    </w:p>
    <w:p w14:paraId="3F9F99D5" w14:textId="77777777" w:rsidR="00891530" w:rsidRPr="00891530" w:rsidRDefault="00891530" w:rsidP="00E1521D">
      <w:pPr>
        <w:jc w:val="both"/>
        <w:rPr>
          <w:b/>
          <w:bCs/>
        </w:rPr>
      </w:pPr>
    </w:p>
    <w:p w14:paraId="68DD5A84" w14:textId="77777777" w:rsidR="00891530" w:rsidRPr="00891530" w:rsidRDefault="00891530" w:rsidP="00E1521D">
      <w:pPr>
        <w:jc w:val="both"/>
        <w:rPr>
          <w:b/>
          <w:bCs/>
        </w:rPr>
      </w:pPr>
      <w:r w:rsidRPr="00891530">
        <w:rPr>
          <w:b/>
          <w:bCs/>
        </w:rPr>
        <w:t>Respuesta:</w:t>
      </w:r>
    </w:p>
    <w:p w14:paraId="0EE66780" w14:textId="5837B81A" w:rsidR="00891530" w:rsidRPr="00F76E2D" w:rsidRDefault="00F76E2D" w:rsidP="00E1521D">
      <w:pPr>
        <w:jc w:val="both"/>
        <w:rPr>
          <w:rFonts w:ascii="Cambria" w:hAnsi="Cambria"/>
          <w:color w:val="275317" w:themeColor="accent6" w:themeShade="80"/>
        </w:rPr>
      </w:pPr>
      <w:r w:rsidRPr="00F76E2D">
        <w:rPr>
          <w:rFonts w:ascii="Cambria" w:hAnsi="Cambria"/>
          <w:color w:val="275317" w:themeColor="accent6" w:themeShade="80"/>
        </w:rPr>
        <w:t>Se deberá cumplir con los requerimientos establecidos en el pliego.</w:t>
      </w:r>
    </w:p>
    <w:p w14:paraId="5A54FF81" w14:textId="77777777" w:rsidR="00891530" w:rsidRPr="00891530" w:rsidRDefault="00891530" w:rsidP="00E1521D">
      <w:pPr>
        <w:jc w:val="both"/>
        <w:rPr>
          <w:b/>
          <w:bCs/>
        </w:rPr>
      </w:pPr>
    </w:p>
    <w:p w14:paraId="09DADBE5" w14:textId="77777777" w:rsidR="00891530" w:rsidRPr="00891530" w:rsidRDefault="00891530" w:rsidP="00E1521D">
      <w:pPr>
        <w:jc w:val="both"/>
        <w:rPr>
          <w:b/>
          <w:bCs/>
        </w:rPr>
      </w:pPr>
      <w:r w:rsidRPr="00891530">
        <w:rPr>
          <w:b/>
          <w:bCs/>
        </w:rPr>
        <w:t xml:space="preserve">Consulta </w:t>
      </w:r>
      <w:proofErr w:type="spellStart"/>
      <w:proofErr w:type="gramStart"/>
      <w:r w:rsidRPr="00891530">
        <w:rPr>
          <w:b/>
          <w:bCs/>
        </w:rPr>
        <w:t>No.XX</w:t>
      </w:r>
      <w:proofErr w:type="spellEnd"/>
      <w:r w:rsidRPr="00891530">
        <w:rPr>
          <w:b/>
          <w:bCs/>
        </w:rPr>
        <w:t>.</w:t>
      </w:r>
      <w:proofErr w:type="gramEnd"/>
      <w:r w:rsidRPr="00891530">
        <w:rPr>
          <w:b/>
          <w:bCs/>
        </w:rPr>
        <w:t xml:space="preserve"> Se solicita aclarar si los documentos presentados en idioma distinto al requerido deberán contar con traducción simple o si es necesario que dicha traducción sea realizada por un traductor certificado o perito oficial.</w:t>
      </w:r>
    </w:p>
    <w:p w14:paraId="2C32A67A" w14:textId="77777777" w:rsidR="00891530" w:rsidRPr="00891530" w:rsidRDefault="00891530" w:rsidP="00E1521D">
      <w:pPr>
        <w:jc w:val="both"/>
        <w:rPr>
          <w:b/>
          <w:bCs/>
        </w:rPr>
      </w:pPr>
    </w:p>
    <w:p w14:paraId="032E8FB2" w14:textId="77777777" w:rsidR="00891530" w:rsidRPr="00891530" w:rsidRDefault="00891530" w:rsidP="00E1521D">
      <w:pPr>
        <w:jc w:val="both"/>
        <w:rPr>
          <w:b/>
          <w:bCs/>
        </w:rPr>
      </w:pPr>
      <w:r w:rsidRPr="00891530">
        <w:rPr>
          <w:b/>
          <w:bCs/>
        </w:rPr>
        <w:t>Respuesta:</w:t>
      </w:r>
    </w:p>
    <w:p w14:paraId="2C4B58D6" w14:textId="5013212B" w:rsidR="00891530" w:rsidRPr="00891530" w:rsidRDefault="002B7882" w:rsidP="00E1521D">
      <w:pPr>
        <w:jc w:val="both"/>
        <w:rPr>
          <w:b/>
          <w:bCs/>
        </w:rPr>
      </w:pPr>
      <w:r w:rsidRPr="00F76E2D">
        <w:rPr>
          <w:rFonts w:ascii="Cambria" w:hAnsi="Cambria"/>
          <w:color w:val="275317" w:themeColor="accent6" w:themeShade="80"/>
        </w:rPr>
        <w:t>Consulta administrativa</w:t>
      </w:r>
    </w:p>
    <w:p w14:paraId="24F79791" w14:textId="77777777" w:rsidR="00891530" w:rsidRPr="00891530" w:rsidRDefault="00891530" w:rsidP="00E1521D">
      <w:pPr>
        <w:jc w:val="both"/>
        <w:rPr>
          <w:b/>
          <w:bCs/>
        </w:rPr>
      </w:pPr>
    </w:p>
    <w:p w14:paraId="497E6879" w14:textId="77777777" w:rsidR="00891530" w:rsidRPr="00891530" w:rsidRDefault="00891530" w:rsidP="00E1521D">
      <w:pPr>
        <w:jc w:val="both"/>
        <w:rPr>
          <w:b/>
          <w:bCs/>
        </w:rPr>
      </w:pPr>
      <w:r w:rsidRPr="00891530">
        <w:rPr>
          <w:b/>
          <w:bCs/>
        </w:rPr>
        <w:t>Consulta No. xx. Extensión del plazo para presentación de oferta</w:t>
      </w:r>
      <w:r w:rsidRPr="00891530">
        <w:rPr>
          <w:b/>
          <w:bCs/>
        </w:rPr>
        <w:br/>
        <w:t>Solicitamos formalmente una extensión del plazo de presentación de la oferta, a fin de contar con el tiempo necesario para analizar en detalle los aspectos técnicos y económicos del proceso.</w:t>
      </w:r>
    </w:p>
    <w:p w14:paraId="117AB8C9" w14:textId="77777777" w:rsidR="00891530" w:rsidRPr="00891530" w:rsidRDefault="00891530" w:rsidP="00E1521D">
      <w:pPr>
        <w:jc w:val="both"/>
        <w:rPr>
          <w:b/>
          <w:bCs/>
        </w:rPr>
      </w:pPr>
    </w:p>
    <w:p w14:paraId="2C0FADCB" w14:textId="77777777" w:rsidR="00891530" w:rsidRPr="00891530" w:rsidRDefault="00891530" w:rsidP="00E1521D">
      <w:pPr>
        <w:jc w:val="both"/>
        <w:rPr>
          <w:b/>
          <w:bCs/>
        </w:rPr>
      </w:pPr>
      <w:r w:rsidRPr="00891530">
        <w:rPr>
          <w:b/>
          <w:bCs/>
        </w:rPr>
        <w:t>Respuesta:</w:t>
      </w:r>
    </w:p>
    <w:p w14:paraId="7C0BF244" w14:textId="2EE0FA01" w:rsidR="002B7882" w:rsidRPr="00C80BA5" w:rsidRDefault="002B7882" w:rsidP="00E1521D">
      <w:pPr>
        <w:jc w:val="both"/>
        <w:rPr>
          <w:rFonts w:ascii="Cambria" w:hAnsi="Cambria"/>
          <w:color w:val="275317" w:themeColor="accent6" w:themeShade="80"/>
        </w:rPr>
      </w:pPr>
      <w:r w:rsidRPr="00E8435F">
        <w:rPr>
          <w:rFonts w:ascii="Cambria" w:hAnsi="Cambria"/>
          <w:color w:val="275317" w:themeColor="accent6" w:themeShade="80"/>
        </w:rPr>
        <w:t>Valorar la posibilidad de ampliar el plazo de entrega de las ofertas.</w:t>
      </w:r>
      <w:r w:rsidR="00385D26">
        <w:rPr>
          <w:rFonts w:ascii="Cambria" w:hAnsi="Cambria"/>
          <w:color w:val="275317" w:themeColor="accent6" w:themeShade="80"/>
        </w:rPr>
        <w:t xml:space="preserve"> </w:t>
      </w:r>
      <w:r w:rsidR="00385D26" w:rsidRPr="00385D26">
        <w:rPr>
          <w:rFonts w:ascii="Cambria" w:hAnsi="Cambria"/>
          <w:color w:val="275317" w:themeColor="accent6" w:themeShade="80"/>
          <w:highlight w:val="yellow"/>
        </w:rPr>
        <w:t xml:space="preserve">(validar por el coordinador general de </w:t>
      </w:r>
      <w:proofErr w:type="spellStart"/>
      <w:r w:rsidR="00385D26" w:rsidRPr="00385D26">
        <w:rPr>
          <w:rFonts w:ascii="Cambria" w:hAnsi="Cambria"/>
          <w:color w:val="275317" w:themeColor="accent6" w:themeShade="80"/>
          <w:highlight w:val="yellow"/>
        </w:rPr>
        <w:t>uep</w:t>
      </w:r>
      <w:proofErr w:type="spellEnd"/>
      <w:r w:rsidR="00385D26" w:rsidRPr="00385D26">
        <w:rPr>
          <w:rFonts w:ascii="Cambria" w:hAnsi="Cambria"/>
          <w:color w:val="275317" w:themeColor="accent6" w:themeShade="80"/>
          <w:highlight w:val="yellow"/>
        </w:rPr>
        <w:t>)</w:t>
      </w:r>
      <w:r w:rsidR="00385D26">
        <w:rPr>
          <w:rFonts w:ascii="Cambria" w:hAnsi="Cambria"/>
          <w:color w:val="275317" w:themeColor="accent6" w:themeShade="80"/>
        </w:rPr>
        <w:t>.</w:t>
      </w:r>
    </w:p>
    <w:p w14:paraId="708B161E" w14:textId="77777777" w:rsidR="00891530" w:rsidRPr="00891530" w:rsidRDefault="00891530" w:rsidP="00E1521D">
      <w:pPr>
        <w:jc w:val="both"/>
        <w:rPr>
          <w:b/>
          <w:bCs/>
        </w:rPr>
      </w:pPr>
    </w:p>
    <w:p w14:paraId="22DC60C8" w14:textId="08EC6011" w:rsidR="00891530" w:rsidRDefault="00891530" w:rsidP="00E1521D">
      <w:pPr>
        <w:jc w:val="both"/>
        <w:rPr>
          <w:b/>
          <w:bCs/>
        </w:rPr>
      </w:pPr>
    </w:p>
    <w:p w14:paraId="6F2E1FCC" w14:textId="77777777" w:rsidR="002B7882" w:rsidRPr="00891530" w:rsidRDefault="002B7882" w:rsidP="00E1521D">
      <w:pPr>
        <w:jc w:val="both"/>
        <w:rPr>
          <w:b/>
          <w:bCs/>
        </w:rPr>
      </w:pPr>
    </w:p>
    <w:p w14:paraId="7B799113" w14:textId="77777777" w:rsidR="00891530" w:rsidRPr="00891530" w:rsidRDefault="00891530" w:rsidP="00E1521D">
      <w:pPr>
        <w:jc w:val="both"/>
        <w:rPr>
          <w:b/>
          <w:bCs/>
        </w:rPr>
      </w:pPr>
    </w:p>
    <w:p w14:paraId="01BF7D7E" w14:textId="77777777" w:rsidR="00891530" w:rsidRPr="00891530" w:rsidRDefault="00891530" w:rsidP="00E1521D">
      <w:pPr>
        <w:jc w:val="both"/>
        <w:rPr>
          <w:b/>
          <w:bCs/>
        </w:rPr>
      </w:pPr>
      <w:r w:rsidRPr="00891530">
        <w:rPr>
          <w:b/>
          <w:bCs/>
        </w:rPr>
        <w:t>Consulta No. xx. Infraestructura de Red y Telegestión</w:t>
      </w:r>
      <w:r w:rsidRPr="00891530">
        <w:rPr>
          <w:b/>
          <w:bCs/>
        </w:rPr>
        <w:br/>
        <w:t>En caso de que, dentro de la zona de sustitución, se detecte que la red de baja tensión o el transformador existente no cumplen con los niveles de estabilidad requeridos para la implementación de la telegestión, ¿quién asumirá el costo de adecuación de dicha infraestructura para garantizar la correcta comunicación del sistema?</w:t>
      </w:r>
    </w:p>
    <w:p w14:paraId="2A3DFA5B" w14:textId="77777777" w:rsidR="00891530" w:rsidRPr="00891530" w:rsidRDefault="00891530" w:rsidP="00E1521D">
      <w:pPr>
        <w:jc w:val="both"/>
        <w:rPr>
          <w:b/>
          <w:bCs/>
        </w:rPr>
      </w:pPr>
    </w:p>
    <w:p w14:paraId="26BA35A7" w14:textId="77777777" w:rsidR="00891530" w:rsidRPr="00891530" w:rsidRDefault="00891530" w:rsidP="00E1521D">
      <w:pPr>
        <w:jc w:val="both"/>
        <w:rPr>
          <w:b/>
          <w:bCs/>
        </w:rPr>
      </w:pPr>
      <w:r w:rsidRPr="00891530">
        <w:rPr>
          <w:b/>
          <w:bCs/>
        </w:rPr>
        <w:t>Respuesta:</w:t>
      </w:r>
    </w:p>
    <w:p w14:paraId="50A901D0" w14:textId="2AB80801" w:rsidR="00891530" w:rsidRPr="00891530" w:rsidRDefault="00B57240" w:rsidP="00E1521D">
      <w:pPr>
        <w:jc w:val="both"/>
        <w:rPr>
          <w:b/>
          <w:bCs/>
        </w:rPr>
      </w:pPr>
      <w:r>
        <w:rPr>
          <w:rFonts w:ascii="Cambria" w:hAnsi="Cambria"/>
          <w:color w:val="275317" w:themeColor="accent6" w:themeShade="80"/>
        </w:rPr>
        <w:t>No corresponde a esta licitación.</w:t>
      </w:r>
    </w:p>
    <w:p w14:paraId="7EB7609A" w14:textId="77777777" w:rsidR="00891530" w:rsidRPr="00891530" w:rsidRDefault="00891530" w:rsidP="00E1521D">
      <w:pPr>
        <w:jc w:val="both"/>
        <w:rPr>
          <w:b/>
          <w:bCs/>
        </w:rPr>
      </w:pPr>
    </w:p>
    <w:p w14:paraId="5C01DE31" w14:textId="77777777" w:rsidR="00891530" w:rsidRPr="00891530" w:rsidRDefault="00891530" w:rsidP="00E1521D">
      <w:pPr>
        <w:jc w:val="both"/>
        <w:rPr>
          <w:b/>
          <w:bCs/>
        </w:rPr>
      </w:pPr>
    </w:p>
    <w:p w14:paraId="4EB5ED85" w14:textId="77777777" w:rsidR="00891530" w:rsidRPr="00891530" w:rsidRDefault="00891530" w:rsidP="00E1521D">
      <w:pPr>
        <w:jc w:val="both"/>
        <w:rPr>
          <w:b/>
          <w:bCs/>
        </w:rPr>
      </w:pPr>
      <w:r w:rsidRPr="00891530">
        <w:rPr>
          <w:b/>
          <w:bCs/>
        </w:rPr>
        <w:t>Consulta No. xx. Permisos y Obra Civil Urbana</w:t>
      </w:r>
      <w:r w:rsidRPr="00891530">
        <w:rPr>
          <w:b/>
          <w:bCs/>
        </w:rPr>
        <w:br/>
        <w:t>En las zonas de intervención, ¿corresponde al contratista asumir los costos asociados a permisos municipales, así como la reposición de aceras, asfaltado y otros elementos conforme a las normativas locales?</w:t>
      </w:r>
      <w:r w:rsidRPr="00891530">
        <w:rPr>
          <w:b/>
          <w:bCs/>
        </w:rPr>
        <w:br/>
        <w:t>¿O existe algún acuerdo interinstitucional que contemple, gestione o exonere estos trámites y trabajos?</w:t>
      </w:r>
    </w:p>
    <w:p w14:paraId="3465DA7D" w14:textId="77777777" w:rsidR="00891530" w:rsidRPr="00891530" w:rsidRDefault="00891530" w:rsidP="00E1521D">
      <w:pPr>
        <w:jc w:val="both"/>
        <w:rPr>
          <w:b/>
          <w:bCs/>
        </w:rPr>
      </w:pPr>
    </w:p>
    <w:p w14:paraId="427BB8B7" w14:textId="77777777" w:rsidR="00891530" w:rsidRPr="00891530" w:rsidRDefault="00891530" w:rsidP="00E1521D">
      <w:pPr>
        <w:jc w:val="both"/>
        <w:rPr>
          <w:b/>
          <w:bCs/>
        </w:rPr>
      </w:pPr>
      <w:r w:rsidRPr="00891530">
        <w:rPr>
          <w:b/>
          <w:bCs/>
        </w:rPr>
        <w:t>Respuesta:</w:t>
      </w:r>
    </w:p>
    <w:p w14:paraId="1F6A0D03" w14:textId="72447902" w:rsidR="00891530" w:rsidRDefault="00010300" w:rsidP="00E1521D">
      <w:pPr>
        <w:jc w:val="both"/>
        <w:rPr>
          <w:b/>
          <w:bCs/>
        </w:rPr>
      </w:pPr>
      <w:r w:rsidRPr="00DD31A1">
        <w:rPr>
          <w:rFonts w:ascii="Cambria" w:hAnsi="Cambria"/>
          <w:color w:val="275317" w:themeColor="accent6" w:themeShade="80"/>
        </w:rPr>
        <w:t>Esto será responsabilidad del adjudicatario.</w:t>
      </w:r>
    </w:p>
    <w:p w14:paraId="0F968333" w14:textId="77777777" w:rsidR="002A1AB7" w:rsidRPr="00891530" w:rsidRDefault="002A1AB7" w:rsidP="00E1521D">
      <w:pPr>
        <w:jc w:val="both"/>
        <w:rPr>
          <w:b/>
          <w:bCs/>
        </w:rPr>
      </w:pPr>
    </w:p>
    <w:p w14:paraId="4281FF56" w14:textId="77777777" w:rsidR="00891530" w:rsidRPr="00891530" w:rsidRDefault="00891530" w:rsidP="00E1521D">
      <w:pPr>
        <w:jc w:val="both"/>
        <w:rPr>
          <w:b/>
          <w:bCs/>
        </w:rPr>
      </w:pPr>
    </w:p>
    <w:p w14:paraId="102D5884" w14:textId="77777777" w:rsidR="00891530" w:rsidRPr="00891530" w:rsidRDefault="00891530" w:rsidP="00E1521D">
      <w:pPr>
        <w:jc w:val="both"/>
        <w:rPr>
          <w:b/>
          <w:bCs/>
        </w:rPr>
      </w:pPr>
    </w:p>
    <w:p w14:paraId="36A9845D" w14:textId="77777777" w:rsidR="00891530" w:rsidRPr="00DD31A1" w:rsidRDefault="00891530" w:rsidP="00E1521D">
      <w:pPr>
        <w:jc w:val="both"/>
        <w:rPr>
          <w:b/>
          <w:bCs/>
        </w:rPr>
      </w:pPr>
      <w:r w:rsidRPr="00DD31A1">
        <w:rPr>
          <w:b/>
          <w:bCs/>
        </w:rPr>
        <w:t>Consulta No. xx. Coordinación de Seguridad en Media Tensión</w:t>
      </w:r>
      <w:r w:rsidRPr="00DD31A1">
        <w:rPr>
          <w:b/>
          <w:bCs/>
        </w:rPr>
        <w:br/>
        <w:t>Para trabajos en proximidad de líneas de media tensión, ¿cuál será el protocolo de coordinación con las empresas distribuidoras para la obtención de descargos de circuitos? Asimismo, ¿qué ventanas de tiempo serán garantizadas para ejecutar los trabajos de forma segura y en cumplimiento con el cronograma establecido?</w:t>
      </w:r>
    </w:p>
    <w:p w14:paraId="70DA8C8C" w14:textId="686FE38E" w:rsidR="005E1EC4" w:rsidRDefault="005E1EC4" w:rsidP="00E1521D">
      <w:pPr>
        <w:jc w:val="both"/>
        <w:rPr>
          <w:b/>
          <w:bCs/>
          <w:highlight w:val="cyan"/>
        </w:rPr>
      </w:pPr>
    </w:p>
    <w:p w14:paraId="0414E302" w14:textId="77777777" w:rsidR="00DD31A1" w:rsidRPr="00DD31A1" w:rsidRDefault="00DD31A1" w:rsidP="00DD31A1">
      <w:pPr>
        <w:jc w:val="both"/>
        <w:rPr>
          <w:b/>
          <w:bCs/>
        </w:rPr>
      </w:pPr>
      <w:r w:rsidRPr="00DD31A1">
        <w:rPr>
          <w:b/>
          <w:bCs/>
        </w:rPr>
        <w:t>Respuesta:</w:t>
      </w:r>
    </w:p>
    <w:p w14:paraId="2779BB58" w14:textId="77777777" w:rsidR="00DD31A1" w:rsidRDefault="00DD31A1" w:rsidP="00E1521D">
      <w:pPr>
        <w:jc w:val="both"/>
        <w:rPr>
          <w:b/>
          <w:bCs/>
          <w:highlight w:val="cyan"/>
        </w:rPr>
      </w:pPr>
    </w:p>
    <w:p w14:paraId="027381DC" w14:textId="642FA967" w:rsidR="00D477E9" w:rsidRPr="00025336" w:rsidRDefault="00183502" w:rsidP="00D477E9">
      <w:pPr>
        <w:jc w:val="both"/>
      </w:pPr>
      <w:r w:rsidRPr="00983713">
        <w:t xml:space="preserve">De acuerdo con lo establecido en el numeral 3. </w:t>
      </w:r>
      <w:bookmarkStart w:id="1" w:name="_Toc224666313"/>
      <w:r w:rsidRPr="00983713">
        <w:t>Periodo de Ejecución</w:t>
      </w:r>
      <w:bookmarkEnd w:id="1"/>
      <w:r w:rsidRPr="00983713">
        <w:t xml:space="preserve"> de la Declaración de Trabajo</w:t>
      </w:r>
      <w:r w:rsidR="00943C8E">
        <w:t xml:space="preserve"> del pliego de condiciones</w:t>
      </w:r>
      <w:r w:rsidR="00983713">
        <w:t>:</w:t>
      </w:r>
      <w:r w:rsidR="00073F54" w:rsidRPr="00983713">
        <w:t xml:space="preserve"> </w:t>
      </w:r>
      <w:r w:rsidR="00983713" w:rsidRPr="00983713">
        <w:t>“</w:t>
      </w:r>
      <w:r w:rsidR="00D477E9" w:rsidRPr="00025336">
        <w:t>El contratista deberá planificar sus actividades en un horario de trabajo estándar de 40 horas semanales, distribuidas de lunes a viernes y medio día los sábados, en las zonas de influencia del proyecto. La disponibilidad de este horario estará sujeta a ajustes según el avance de las obras.</w:t>
      </w:r>
    </w:p>
    <w:p w14:paraId="64D9D3F3" w14:textId="08C1F692" w:rsidR="00983713" w:rsidRPr="000B58BD" w:rsidRDefault="00983713" w:rsidP="00983713">
      <w:pPr>
        <w:jc w:val="both"/>
        <w:rPr>
          <w:rFonts w:cstheme="minorHAnsi"/>
          <w:color w:val="000000" w:themeColor="text1"/>
        </w:rPr>
      </w:pPr>
      <w:r w:rsidRPr="00025336">
        <w:t>Para las actividades que requieran la interrupción programada del servicio eléctrico (PES) en el circuito o grupos de Centros de Transformación, el contratista deberá presentar su solicitud a la</w:t>
      </w:r>
      <w:r w:rsidRPr="000B58BD">
        <w:rPr>
          <w:rFonts w:cstheme="minorHAnsi"/>
          <w:color w:val="000000" w:themeColor="text1"/>
        </w:rPr>
        <w:t xml:space="preserve"> </w:t>
      </w:r>
      <w:r w:rsidRPr="000B58BD">
        <w:rPr>
          <w:rFonts w:ascii="Calibri" w:eastAsia="Calibri" w:hAnsi="Calibri" w:cs="Arial"/>
        </w:rPr>
        <w:t xml:space="preserve">Empresa Distribuidora de Electricidad (EDESUR) </w:t>
      </w:r>
      <w:r w:rsidRPr="000B58BD">
        <w:rPr>
          <w:rFonts w:cstheme="minorHAnsi"/>
          <w:color w:val="000000" w:themeColor="text1"/>
        </w:rPr>
        <w:t>correspondiente con atención a la Unidad Ejecutora de Proyectos (UEP) del MEMRD</w:t>
      </w:r>
      <w:r w:rsidRPr="000B58BD" w:rsidDel="00FB30AA">
        <w:rPr>
          <w:rFonts w:cstheme="minorHAnsi"/>
          <w:color w:val="000000" w:themeColor="text1"/>
        </w:rPr>
        <w:t xml:space="preserve"> </w:t>
      </w:r>
      <w:r w:rsidRPr="000B58BD">
        <w:rPr>
          <w:rFonts w:cstheme="minorHAnsi"/>
          <w:color w:val="000000" w:themeColor="text1"/>
        </w:rPr>
        <w:t xml:space="preserve">con al </w:t>
      </w:r>
      <w:r w:rsidRPr="000B58BD">
        <w:rPr>
          <w:rFonts w:cstheme="minorHAnsi"/>
        </w:rPr>
        <w:t xml:space="preserve">menos 15 días calendario </w:t>
      </w:r>
      <w:r w:rsidRPr="000B58BD">
        <w:rPr>
          <w:rFonts w:cstheme="minorHAnsi"/>
          <w:color w:val="000000" w:themeColor="text1"/>
        </w:rPr>
        <w:t xml:space="preserve">de anticipación. </w:t>
      </w:r>
      <w:r w:rsidRPr="000B58BD">
        <w:t xml:space="preserve">la EDE en coordinación con la UEP del MEMRD </w:t>
      </w:r>
      <w:r w:rsidRPr="000B58BD">
        <w:rPr>
          <w:rFonts w:cstheme="minorHAnsi"/>
          <w:color w:val="000000" w:themeColor="text1"/>
        </w:rPr>
        <w:t>evaluará dichas solicitudes considerando las condiciones operativas del Sistema Eléctrico Nacional Interconectado (SENI) y las necesidades del proyecto.</w:t>
      </w:r>
      <w:r w:rsidR="00D477E9">
        <w:rPr>
          <w:rFonts w:cstheme="minorHAnsi"/>
          <w:color w:val="000000" w:themeColor="text1"/>
        </w:rPr>
        <w:t>”</w:t>
      </w:r>
      <w:r w:rsidR="007F1BBC">
        <w:rPr>
          <w:rFonts w:cstheme="minorHAnsi"/>
          <w:color w:val="000000" w:themeColor="text1"/>
        </w:rPr>
        <w:t xml:space="preserve">  </w:t>
      </w:r>
      <w:r w:rsidR="007F1BBC" w:rsidRPr="00DD31A1">
        <w:rPr>
          <w:rFonts w:cstheme="minorHAnsi"/>
          <w:color w:val="EE0000"/>
          <w:highlight w:val="yellow"/>
        </w:rPr>
        <w:t>(Consultar con especialista ambiental si hay otra restricción adicional)</w:t>
      </w:r>
      <w:r w:rsidR="00314D5E" w:rsidRPr="00DD31A1">
        <w:rPr>
          <w:rFonts w:cstheme="minorHAnsi"/>
          <w:color w:val="EE0000"/>
          <w:highlight w:val="yellow"/>
        </w:rPr>
        <w:t>.</w:t>
      </w:r>
      <w:r w:rsidR="00DD31A1" w:rsidRPr="00DD31A1">
        <w:rPr>
          <w:rFonts w:cstheme="minorHAnsi"/>
          <w:color w:val="EE0000"/>
          <w:highlight w:val="yellow"/>
        </w:rPr>
        <w:t xml:space="preserve"> Completar por el especialista de adquisiciones.</w:t>
      </w:r>
      <w:r w:rsidR="00DD31A1">
        <w:rPr>
          <w:rFonts w:cstheme="minorHAnsi"/>
          <w:color w:val="EE0000"/>
        </w:rPr>
        <w:t xml:space="preserve"> </w:t>
      </w:r>
    </w:p>
    <w:p w14:paraId="5B2EA28E" w14:textId="13A4F456" w:rsidR="00183502" w:rsidRPr="00183502" w:rsidRDefault="00183502" w:rsidP="00183502">
      <w:pPr>
        <w:pStyle w:val="Ttulo1"/>
        <w:rPr>
          <w:rFonts w:ascii="Times New Roman" w:eastAsia="Times New Roman" w:hAnsi="Times New Roman" w:cs="Times New Roman"/>
          <w:b/>
          <w:bCs/>
          <w:color w:val="auto"/>
          <w:sz w:val="24"/>
          <w:szCs w:val="24"/>
          <w:highlight w:val="cyan"/>
        </w:rPr>
      </w:pPr>
    </w:p>
    <w:p w14:paraId="665623E8" w14:textId="271F107B" w:rsidR="005E1EC4" w:rsidRPr="00694404" w:rsidRDefault="005E1EC4" w:rsidP="00E1521D">
      <w:pPr>
        <w:jc w:val="both"/>
        <w:rPr>
          <w:b/>
          <w:bCs/>
          <w:highlight w:val="cyan"/>
        </w:rPr>
      </w:pPr>
    </w:p>
    <w:p w14:paraId="2047B768" w14:textId="77777777" w:rsidR="00891530" w:rsidRPr="00694404" w:rsidRDefault="00891530" w:rsidP="00E1521D">
      <w:pPr>
        <w:jc w:val="both"/>
        <w:rPr>
          <w:b/>
          <w:bCs/>
          <w:highlight w:val="cyan"/>
        </w:rPr>
      </w:pPr>
    </w:p>
    <w:p w14:paraId="3CDAEF0C" w14:textId="77777777" w:rsidR="00891530" w:rsidRPr="00891530" w:rsidRDefault="00891530" w:rsidP="00E1521D">
      <w:pPr>
        <w:jc w:val="both"/>
        <w:rPr>
          <w:b/>
          <w:bCs/>
        </w:rPr>
      </w:pPr>
    </w:p>
    <w:p w14:paraId="36116A83" w14:textId="77777777" w:rsidR="00891530" w:rsidRPr="00891530" w:rsidRDefault="00891530" w:rsidP="00E1521D">
      <w:pPr>
        <w:jc w:val="both"/>
        <w:rPr>
          <w:b/>
          <w:bCs/>
        </w:rPr>
      </w:pPr>
    </w:p>
    <w:p w14:paraId="5530048C" w14:textId="77777777" w:rsidR="00891530" w:rsidRPr="00891530" w:rsidRDefault="00891530" w:rsidP="00E1521D">
      <w:pPr>
        <w:jc w:val="both"/>
        <w:rPr>
          <w:b/>
          <w:bCs/>
        </w:rPr>
      </w:pPr>
      <w:r w:rsidRPr="00891530">
        <w:rPr>
          <w:b/>
          <w:bCs/>
        </w:rPr>
        <w:t>Consulta No. xx. Logística de Tráfico y Apoyo Institucional</w:t>
      </w:r>
      <w:r w:rsidRPr="00891530">
        <w:rPr>
          <w:b/>
          <w:bCs/>
        </w:rPr>
        <w:br/>
        <w:t>En vías de alto flujo vehicular, ¿la implementación de señalización vial, desvíos y la gestión de apoyo con entidades como la DIGESETT será responsabilidad del contratista, o será gestionada y cubierta por la institución contratante?</w:t>
      </w:r>
    </w:p>
    <w:p w14:paraId="2E2B4A59" w14:textId="77777777" w:rsidR="00891530" w:rsidRPr="00891530" w:rsidRDefault="00891530" w:rsidP="00E1521D">
      <w:pPr>
        <w:jc w:val="both"/>
        <w:rPr>
          <w:b/>
          <w:bCs/>
        </w:rPr>
      </w:pPr>
    </w:p>
    <w:p w14:paraId="4DD009DA" w14:textId="77777777" w:rsidR="00891530" w:rsidRPr="00891530" w:rsidRDefault="00891530" w:rsidP="00E1521D">
      <w:pPr>
        <w:jc w:val="both"/>
        <w:rPr>
          <w:b/>
          <w:bCs/>
        </w:rPr>
      </w:pPr>
      <w:r w:rsidRPr="00891530">
        <w:rPr>
          <w:b/>
          <w:bCs/>
        </w:rPr>
        <w:t>Respuesta:</w:t>
      </w:r>
    </w:p>
    <w:p w14:paraId="4116E203" w14:textId="63D1AFED" w:rsidR="00891530" w:rsidRPr="00891530" w:rsidRDefault="000160FA" w:rsidP="00E1521D">
      <w:pPr>
        <w:jc w:val="both"/>
        <w:rPr>
          <w:b/>
          <w:bCs/>
        </w:rPr>
      </w:pPr>
      <w:r>
        <w:rPr>
          <w:rFonts w:ascii="Cambria" w:hAnsi="Cambria"/>
          <w:color w:val="275317" w:themeColor="accent6" w:themeShade="80"/>
        </w:rPr>
        <w:t>Será responsabilidad de la empresa contratista.</w:t>
      </w:r>
    </w:p>
    <w:p w14:paraId="059D2FF5" w14:textId="77777777" w:rsidR="00891530" w:rsidRPr="00891530" w:rsidRDefault="00891530" w:rsidP="00E1521D">
      <w:pPr>
        <w:jc w:val="both"/>
        <w:rPr>
          <w:b/>
          <w:bCs/>
        </w:rPr>
      </w:pPr>
    </w:p>
    <w:p w14:paraId="7A4576A8" w14:textId="77777777" w:rsidR="00891530" w:rsidRPr="00891530" w:rsidRDefault="00891530" w:rsidP="00E1521D">
      <w:pPr>
        <w:jc w:val="both"/>
        <w:rPr>
          <w:b/>
          <w:bCs/>
        </w:rPr>
      </w:pPr>
      <w:r w:rsidRPr="00891530">
        <w:rPr>
          <w:b/>
          <w:bCs/>
        </w:rPr>
        <w:t>Consulta No. xx. Solicitud de prórroga para presentación de oferta</w:t>
      </w:r>
      <w:r w:rsidRPr="00891530">
        <w:rPr>
          <w:b/>
          <w:bCs/>
        </w:rPr>
        <w:br/>
        <w:t>Reiteramos la solicitud de prórroga en el plazo de entrega de la oferta, con el propósito de incorporar adecuadamente las posibles variaciones técnicas y económicas derivadas de los puntos antes mencionados.</w:t>
      </w:r>
    </w:p>
    <w:p w14:paraId="55E61520" w14:textId="77777777" w:rsidR="00891530" w:rsidRPr="00891530" w:rsidRDefault="00891530" w:rsidP="00E1521D">
      <w:pPr>
        <w:jc w:val="both"/>
        <w:rPr>
          <w:b/>
          <w:bCs/>
        </w:rPr>
      </w:pPr>
    </w:p>
    <w:p w14:paraId="76C53D78" w14:textId="77777777" w:rsidR="00891530" w:rsidRPr="00891530" w:rsidRDefault="00891530" w:rsidP="00E1521D">
      <w:pPr>
        <w:jc w:val="both"/>
        <w:rPr>
          <w:b/>
          <w:bCs/>
        </w:rPr>
      </w:pPr>
      <w:r w:rsidRPr="00DD31A1">
        <w:rPr>
          <w:b/>
          <w:bCs/>
          <w:highlight w:val="green"/>
        </w:rPr>
        <w:t>Respuesta:</w:t>
      </w:r>
    </w:p>
    <w:p w14:paraId="4D176F69" w14:textId="0B34299E" w:rsidR="00DD31A1" w:rsidRPr="00C80BA5" w:rsidRDefault="002A1AB7" w:rsidP="00DD31A1">
      <w:pPr>
        <w:jc w:val="both"/>
        <w:rPr>
          <w:rFonts w:ascii="Cambria" w:hAnsi="Cambria"/>
          <w:color w:val="275317" w:themeColor="accent6" w:themeShade="80"/>
        </w:rPr>
      </w:pPr>
      <w:r w:rsidRPr="00E8435F">
        <w:rPr>
          <w:rFonts w:ascii="Cambria" w:hAnsi="Cambria"/>
          <w:color w:val="275317" w:themeColor="accent6" w:themeShade="80"/>
        </w:rPr>
        <w:t>Valorar la posibilidad de ampliar el plazo de entrega de las ofertas.</w:t>
      </w:r>
      <w:r w:rsidR="00DD31A1" w:rsidRPr="00DD31A1">
        <w:rPr>
          <w:rFonts w:ascii="Cambria" w:hAnsi="Cambria"/>
          <w:color w:val="275317" w:themeColor="accent6" w:themeShade="80"/>
          <w:highlight w:val="yellow"/>
        </w:rPr>
        <w:t xml:space="preserve"> </w:t>
      </w:r>
      <w:r w:rsidR="00DD31A1" w:rsidRPr="00385D26">
        <w:rPr>
          <w:rFonts w:ascii="Cambria" w:hAnsi="Cambria"/>
          <w:color w:val="275317" w:themeColor="accent6" w:themeShade="80"/>
          <w:highlight w:val="yellow"/>
        </w:rPr>
        <w:t xml:space="preserve">(validar por el coordinador general de </w:t>
      </w:r>
      <w:proofErr w:type="spellStart"/>
      <w:r w:rsidR="00DD31A1" w:rsidRPr="00385D26">
        <w:rPr>
          <w:rFonts w:ascii="Cambria" w:hAnsi="Cambria"/>
          <w:color w:val="275317" w:themeColor="accent6" w:themeShade="80"/>
          <w:highlight w:val="yellow"/>
        </w:rPr>
        <w:t>uep</w:t>
      </w:r>
      <w:proofErr w:type="spellEnd"/>
      <w:r w:rsidR="00DD31A1" w:rsidRPr="00385D26">
        <w:rPr>
          <w:rFonts w:ascii="Cambria" w:hAnsi="Cambria"/>
          <w:color w:val="275317" w:themeColor="accent6" w:themeShade="80"/>
          <w:highlight w:val="yellow"/>
        </w:rPr>
        <w:t>)</w:t>
      </w:r>
      <w:r w:rsidR="00DD31A1">
        <w:rPr>
          <w:rFonts w:ascii="Cambria" w:hAnsi="Cambria"/>
          <w:color w:val="275317" w:themeColor="accent6" w:themeShade="80"/>
        </w:rPr>
        <w:t>.</w:t>
      </w:r>
    </w:p>
    <w:p w14:paraId="6369BB55" w14:textId="77777777" w:rsidR="00891530" w:rsidRPr="00891530" w:rsidRDefault="00891530" w:rsidP="00E1521D">
      <w:pPr>
        <w:jc w:val="both"/>
        <w:rPr>
          <w:b/>
          <w:bCs/>
        </w:rPr>
      </w:pPr>
    </w:p>
    <w:p w14:paraId="6A449680" w14:textId="77777777" w:rsidR="00891530" w:rsidRPr="00891530" w:rsidRDefault="00891530" w:rsidP="00E1521D">
      <w:pPr>
        <w:jc w:val="both"/>
        <w:rPr>
          <w:b/>
          <w:bCs/>
        </w:rPr>
      </w:pPr>
      <w:r w:rsidRPr="00891530">
        <w:rPr>
          <w:b/>
          <w:bCs/>
        </w:rPr>
        <w:t>Consulta No. xx. Garantía y eventos de terceros (robo/vandalismo)</w:t>
      </w:r>
      <w:r w:rsidRPr="00891530">
        <w:rPr>
          <w:b/>
          <w:bCs/>
        </w:rPr>
        <w:br/>
        <w:t>En el caso de una instalación ejecutada correctamente que posteriormente sea afectada por robo o vandalismo por parte de terceros, dejando el sistema fuera de operación (por ejemplo, pérdida de luminarias u otros equipos), ¿cómo se manejaría la responsabilidad sobre la reposición y la garantía de dichos equipos?</w:t>
      </w:r>
    </w:p>
    <w:p w14:paraId="644E988B" w14:textId="77777777" w:rsidR="00891530" w:rsidRPr="00891530" w:rsidRDefault="00891530" w:rsidP="00E1521D">
      <w:pPr>
        <w:jc w:val="both"/>
        <w:rPr>
          <w:b/>
          <w:bCs/>
        </w:rPr>
      </w:pPr>
    </w:p>
    <w:p w14:paraId="363F09DA" w14:textId="77777777" w:rsidR="00891530" w:rsidRPr="00891530" w:rsidRDefault="00891530" w:rsidP="00E1521D">
      <w:pPr>
        <w:jc w:val="both"/>
        <w:rPr>
          <w:b/>
          <w:bCs/>
        </w:rPr>
      </w:pPr>
    </w:p>
    <w:p w14:paraId="2B69C59D" w14:textId="4C976AD5" w:rsidR="00891530" w:rsidRDefault="00891530" w:rsidP="00E1521D">
      <w:pPr>
        <w:jc w:val="both"/>
        <w:rPr>
          <w:b/>
          <w:bCs/>
        </w:rPr>
      </w:pPr>
      <w:r w:rsidRPr="00891530">
        <w:rPr>
          <w:b/>
          <w:bCs/>
        </w:rPr>
        <w:t>Respuesta:</w:t>
      </w:r>
    </w:p>
    <w:p w14:paraId="67EA54B4" w14:textId="2BB59BB0" w:rsidR="002A1AB7" w:rsidRPr="00891530" w:rsidRDefault="002A1AB7" w:rsidP="00E1521D">
      <w:pPr>
        <w:jc w:val="both"/>
        <w:rPr>
          <w:b/>
          <w:bCs/>
        </w:rPr>
      </w:pPr>
      <w:r w:rsidRPr="00F76E2D">
        <w:rPr>
          <w:rFonts w:ascii="Cambria" w:hAnsi="Cambria"/>
          <w:color w:val="275317" w:themeColor="accent6" w:themeShade="80"/>
        </w:rPr>
        <w:t>Consulta administrativa</w:t>
      </w:r>
      <w:r w:rsidR="00DD31A1">
        <w:rPr>
          <w:rFonts w:ascii="Cambria" w:hAnsi="Cambria"/>
          <w:color w:val="275317" w:themeColor="accent6" w:themeShade="80"/>
        </w:rPr>
        <w:t>.</w:t>
      </w:r>
    </w:p>
    <w:p w14:paraId="13CEF493" w14:textId="77777777" w:rsidR="00891530" w:rsidRPr="00891530" w:rsidRDefault="00891530" w:rsidP="00E1521D">
      <w:pPr>
        <w:jc w:val="both"/>
        <w:rPr>
          <w:b/>
          <w:bCs/>
        </w:rPr>
      </w:pPr>
    </w:p>
    <w:p w14:paraId="05896B65" w14:textId="77777777" w:rsidR="00891530" w:rsidRPr="00891530" w:rsidRDefault="00891530" w:rsidP="00E1521D">
      <w:pPr>
        <w:jc w:val="both"/>
        <w:rPr>
          <w:b/>
          <w:bCs/>
        </w:rPr>
      </w:pPr>
    </w:p>
    <w:p w14:paraId="03E9B9D1" w14:textId="77777777" w:rsidR="00891530" w:rsidRPr="00891530" w:rsidRDefault="00891530" w:rsidP="00E1521D">
      <w:pPr>
        <w:jc w:val="both"/>
        <w:rPr>
          <w:b/>
          <w:bCs/>
        </w:rPr>
      </w:pPr>
      <w:r w:rsidRPr="00891530">
        <w:rPr>
          <w:b/>
          <w:bCs/>
        </w:rPr>
        <w:t>Consulta No. xx. Hacemos referencia a la Norma de Diseño y Construcción para Redes Eléctricas de Distribución emitida por la Superintendencia de Electricidad (SIE), la cual constituye el marco técnico rector en materia de alumbrado público en el país. En particular, las Planillas de Datos Técnicos (PDT/PDG) —como la correspondiente a luminarias LED 90W, 3000K (NRD-AE-III-08-01-01-01, versión 02, enero 2023)— establecen más de 120 parámetros técnicos obligatorios, incluyendo criterios de fotometría, eficiencia, control de flujo hemisférico superior (ULOR 0–5%), rango de inclinación (±20°), niveles de protección, así como ensayos LM-79 y LM-80, entre otros.</w:t>
      </w:r>
    </w:p>
    <w:p w14:paraId="2233CA03" w14:textId="77777777" w:rsidR="00891530" w:rsidRPr="00891530" w:rsidRDefault="00891530" w:rsidP="00E1521D">
      <w:pPr>
        <w:jc w:val="both"/>
        <w:rPr>
          <w:b/>
          <w:bCs/>
        </w:rPr>
      </w:pPr>
    </w:p>
    <w:p w14:paraId="23363306" w14:textId="59A733D9" w:rsidR="00891530" w:rsidRPr="00891530" w:rsidRDefault="00891530" w:rsidP="00E1521D">
      <w:pPr>
        <w:jc w:val="both"/>
        <w:rPr>
          <w:b/>
          <w:bCs/>
        </w:rPr>
      </w:pPr>
      <w:r w:rsidRPr="00891530">
        <w:rPr>
          <w:b/>
          <w:bCs/>
        </w:rPr>
        <w:t>Tal como puede verificarse en la documentación oficial, en ninguno de los ítems exigidos por la normativa SIE se contempla la certificación “</w:t>
      </w:r>
      <w:proofErr w:type="spellStart"/>
      <w:r w:rsidRPr="00891530">
        <w:rPr>
          <w:b/>
          <w:bCs/>
        </w:rPr>
        <w:t>DarkSky</w:t>
      </w:r>
      <w:proofErr w:type="spellEnd"/>
      <w:r w:rsidRPr="00891530">
        <w:rPr>
          <w:b/>
          <w:bCs/>
        </w:rPr>
        <w:t>” como requisito técnico. Este criterio ha sido consistente desde la implementación de la norma en 2017, así como en los procesos de licitación pública desarrollados bajo este marco regulatorio.</w:t>
      </w:r>
    </w:p>
    <w:p w14:paraId="7150302A" w14:textId="77777777" w:rsidR="00891530" w:rsidRPr="00891530" w:rsidRDefault="00891530" w:rsidP="00E1521D">
      <w:pPr>
        <w:jc w:val="both"/>
        <w:rPr>
          <w:b/>
          <w:bCs/>
        </w:rPr>
      </w:pPr>
      <w:r w:rsidRPr="00891530">
        <w:rPr>
          <w:b/>
          <w:bCs/>
        </w:rPr>
        <w:t>Asimismo, no se identifican precedentes en la República Dominicana en los que dicha certificación haya sido exigida como condición de participación en procesos similares.</w:t>
      </w:r>
    </w:p>
    <w:p w14:paraId="2C54A3EF" w14:textId="77777777" w:rsidR="00891530" w:rsidRPr="00891530" w:rsidRDefault="00891530" w:rsidP="00E1521D">
      <w:pPr>
        <w:jc w:val="both"/>
        <w:rPr>
          <w:b/>
          <w:bCs/>
        </w:rPr>
      </w:pPr>
      <w:r w:rsidRPr="00891530">
        <w:rPr>
          <w:b/>
          <w:bCs/>
        </w:rPr>
        <w:lastRenderedPageBreak/>
        <w:t>En este contexto, resulta pertinente señalar que el proceso de certificación del programa </w:t>
      </w:r>
      <w:r w:rsidRPr="00891530">
        <w:rPr>
          <w:b/>
          <w:bCs/>
          <w:i/>
          <w:iCs/>
        </w:rPr>
        <w:t xml:space="preserve">Fixture </w:t>
      </w:r>
      <w:proofErr w:type="spellStart"/>
      <w:r w:rsidRPr="00891530">
        <w:rPr>
          <w:b/>
          <w:bCs/>
          <w:i/>
          <w:iCs/>
        </w:rPr>
        <w:t>Seal</w:t>
      </w:r>
      <w:proofErr w:type="spellEnd"/>
      <w:r w:rsidRPr="00891530">
        <w:rPr>
          <w:b/>
          <w:bCs/>
          <w:i/>
          <w:iCs/>
        </w:rPr>
        <w:t xml:space="preserve"> </w:t>
      </w:r>
      <w:proofErr w:type="spellStart"/>
      <w:r w:rsidRPr="00891530">
        <w:rPr>
          <w:b/>
          <w:bCs/>
          <w:i/>
          <w:iCs/>
        </w:rPr>
        <w:t>of</w:t>
      </w:r>
      <w:proofErr w:type="spellEnd"/>
      <w:r w:rsidRPr="00891530">
        <w:rPr>
          <w:b/>
          <w:bCs/>
          <w:i/>
          <w:iCs/>
        </w:rPr>
        <w:t xml:space="preserve"> </w:t>
      </w:r>
      <w:proofErr w:type="spellStart"/>
      <w:r w:rsidRPr="00891530">
        <w:rPr>
          <w:b/>
          <w:bCs/>
          <w:i/>
          <w:iCs/>
        </w:rPr>
        <w:t>Approval</w:t>
      </w:r>
      <w:proofErr w:type="spellEnd"/>
      <w:r w:rsidRPr="00891530">
        <w:rPr>
          <w:b/>
          <w:bCs/>
        </w:rPr>
        <w:t xml:space="preserve"> de </w:t>
      </w:r>
      <w:proofErr w:type="spellStart"/>
      <w:r w:rsidRPr="00891530">
        <w:rPr>
          <w:b/>
          <w:bCs/>
        </w:rPr>
        <w:t>DarkSky</w:t>
      </w:r>
      <w:proofErr w:type="spellEnd"/>
      <w:r w:rsidRPr="00891530">
        <w:rPr>
          <w:b/>
          <w:bCs/>
        </w:rPr>
        <w:t xml:space="preserve"> International implica una evaluación técnica rigurosa, cuyos tiempos de aprobación suelen oscilar entre 4 y 12 semanas, en función de la completitud documental y de las iteraciones requeridas durante la revisión. En consecuencia, no es práctica habitual que los fabricantes dispongan de certificaciones completas para la totalidad de las potencias requeridas (30W–240W), particularmente dentro de plazos reducidos.</w:t>
      </w:r>
    </w:p>
    <w:p w14:paraId="4621D839" w14:textId="77777777" w:rsidR="00891530" w:rsidRPr="00891530" w:rsidRDefault="00891530" w:rsidP="00E1521D">
      <w:pPr>
        <w:jc w:val="both"/>
        <w:rPr>
          <w:b/>
          <w:bCs/>
        </w:rPr>
      </w:pPr>
      <w:r w:rsidRPr="00891530">
        <w:rPr>
          <w:b/>
          <w:bCs/>
        </w:rPr>
        <w:t>A la luz de lo anterior, la incorporación de este requerimiento en la presente licitación —sin estar contemplado en la normativa nacional vigente ni en prácticas históricas del sector— introduce una condición que podría limitar la competencia efectiva, especialmente considerando la amplitud del rango de potencias exigido y los plazos disponibles para la presentación de ofertas.</w:t>
      </w:r>
    </w:p>
    <w:p w14:paraId="1B70D8BA" w14:textId="77777777" w:rsidR="00891530" w:rsidRPr="00891530" w:rsidRDefault="00891530" w:rsidP="00E1521D">
      <w:pPr>
        <w:jc w:val="both"/>
        <w:rPr>
          <w:b/>
          <w:bCs/>
        </w:rPr>
      </w:pPr>
      <w:r w:rsidRPr="00891530">
        <w:rPr>
          <w:b/>
          <w:bCs/>
        </w:rPr>
        <w:t>Cabe destacar que, si bien el financiamiento del proyecto proviene de organismos internacionales, su ejecución conlleva compromisos asumidos por el Estado dominicano. En ese sentido, resulta fundamental asegurar condiciones de participación razonables para los distintos actores del sector, incluyendo empresas locales que se apoyan en fabricantes internacionales de luminarias de clase mundial, que operan en cumplimiento de la normativa nacional y que contribuyen fiscalmente a través de la Dirección General de Impuestos Internos (DGII).</w:t>
      </w:r>
    </w:p>
    <w:p w14:paraId="53371F20" w14:textId="77777777" w:rsidR="00891530" w:rsidRPr="00891530" w:rsidRDefault="00891530" w:rsidP="00E1521D">
      <w:pPr>
        <w:jc w:val="both"/>
        <w:rPr>
          <w:b/>
          <w:bCs/>
        </w:rPr>
      </w:pPr>
      <w:r w:rsidRPr="00891530">
        <w:rPr>
          <w:b/>
          <w:bCs/>
        </w:rPr>
        <w:t>En virtud de lo expuesto, respetuosamente sugerimos considerar las siguientes alternativas:</w:t>
      </w:r>
    </w:p>
    <w:p w14:paraId="04B1FA60" w14:textId="77777777" w:rsidR="00891530" w:rsidRPr="00891530" w:rsidRDefault="00891530" w:rsidP="00E1521D">
      <w:pPr>
        <w:numPr>
          <w:ilvl w:val="0"/>
          <w:numId w:val="29"/>
        </w:numPr>
        <w:jc w:val="both"/>
        <w:rPr>
          <w:b/>
          <w:bCs/>
        </w:rPr>
      </w:pPr>
      <w:r w:rsidRPr="00891530">
        <w:rPr>
          <w:b/>
          <w:bCs/>
        </w:rPr>
        <w:t xml:space="preserve">Aceptar cartas de aplicación o certificación en proceso ante </w:t>
      </w:r>
      <w:proofErr w:type="spellStart"/>
      <w:r w:rsidRPr="00891530">
        <w:rPr>
          <w:b/>
          <w:bCs/>
        </w:rPr>
        <w:t>DarkSky</w:t>
      </w:r>
      <w:proofErr w:type="spellEnd"/>
      <w:r w:rsidRPr="00891530">
        <w:rPr>
          <w:b/>
          <w:bCs/>
        </w:rPr>
        <w:t xml:space="preserve"> para las luminarias ofertadas </w:t>
      </w:r>
    </w:p>
    <w:p w14:paraId="3ADEEFFE" w14:textId="77777777" w:rsidR="00891530" w:rsidRPr="00891530" w:rsidRDefault="00891530" w:rsidP="00E1521D">
      <w:pPr>
        <w:numPr>
          <w:ilvl w:val="0"/>
          <w:numId w:val="29"/>
        </w:numPr>
        <w:jc w:val="both"/>
        <w:rPr>
          <w:b/>
          <w:bCs/>
        </w:rPr>
      </w:pPr>
      <w:r w:rsidRPr="00891530">
        <w:rPr>
          <w:b/>
          <w:bCs/>
        </w:rPr>
        <w:t>Permitir certificación por familia de producto (misma plataforma tecnológica y óptica), conforme a prácticas internacionales como la NOM México </w:t>
      </w:r>
    </w:p>
    <w:p w14:paraId="15A9C92E" w14:textId="77777777" w:rsidR="00891530" w:rsidRPr="00891530" w:rsidRDefault="00891530" w:rsidP="00E1521D">
      <w:pPr>
        <w:numPr>
          <w:ilvl w:val="0"/>
          <w:numId w:val="29"/>
        </w:numPr>
        <w:jc w:val="both"/>
        <w:rPr>
          <w:b/>
          <w:bCs/>
        </w:rPr>
      </w:pPr>
      <w:r w:rsidRPr="00891530">
        <w:rPr>
          <w:b/>
          <w:bCs/>
        </w:rPr>
        <w:t>Evaluar una extensión del plazo de presentación de ofertas, que permita completar los procesos de certificación requeridos </w:t>
      </w:r>
    </w:p>
    <w:p w14:paraId="2D979E63" w14:textId="77777777" w:rsidR="00891530" w:rsidRPr="00891530" w:rsidRDefault="00891530" w:rsidP="00E1521D">
      <w:pPr>
        <w:jc w:val="both"/>
        <w:rPr>
          <w:b/>
          <w:bCs/>
        </w:rPr>
      </w:pPr>
    </w:p>
    <w:p w14:paraId="2CA40A0B" w14:textId="77777777" w:rsidR="00891530" w:rsidRPr="00891530" w:rsidRDefault="00891530" w:rsidP="00E1521D">
      <w:pPr>
        <w:jc w:val="both"/>
        <w:rPr>
          <w:b/>
          <w:bCs/>
        </w:rPr>
      </w:pPr>
      <w:r w:rsidRPr="00DD31A1">
        <w:rPr>
          <w:b/>
          <w:bCs/>
          <w:highlight w:val="green"/>
        </w:rPr>
        <w:t>Respuesta:</w:t>
      </w:r>
    </w:p>
    <w:p w14:paraId="49FFCFD6" w14:textId="05FDAE8B" w:rsidR="00D9629E" w:rsidRPr="00F76E2D" w:rsidRDefault="00D9629E" w:rsidP="00E1521D">
      <w:pPr>
        <w:jc w:val="both"/>
        <w:rPr>
          <w:rFonts w:ascii="Cambria" w:hAnsi="Cambria"/>
          <w:color w:val="275317" w:themeColor="accent6" w:themeShade="80"/>
        </w:rPr>
      </w:pPr>
      <w:r>
        <w:rPr>
          <w:rFonts w:ascii="Cambria" w:hAnsi="Cambria"/>
          <w:color w:val="275317" w:themeColor="accent6" w:themeShade="80"/>
        </w:rPr>
        <w:t xml:space="preserve">No se considera la certificación </w:t>
      </w:r>
      <w:proofErr w:type="spellStart"/>
      <w:r>
        <w:rPr>
          <w:rFonts w:ascii="Cambria" w:hAnsi="Cambria"/>
          <w:color w:val="275317" w:themeColor="accent6" w:themeShade="80"/>
        </w:rPr>
        <w:t>DarkSky</w:t>
      </w:r>
      <w:proofErr w:type="spellEnd"/>
      <w:r>
        <w:rPr>
          <w:rFonts w:ascii="Cambria" w:hAnsi="Cambria"/>
          <w:color w:val="275317" w:themeColor="accent6" w:themeShade="80"/>
        </w:rPr>
        <w:t xml:space="preserve"> como requisito del producto.</w:t>
      </w:r>
    </w:p>
    <w:p w14:paraId="2C2205D0" w14:textId="622541A1" w:rsidR="00891530" w:rsidRPr="000214AE" w:rsidRDefault="000214AE" w:rsidP="00E1521D">
      <w:pPr>
        <w:jc w:val="both"/>
        <w:rPr>
          <w:rFonts w:ascii="Cambria" w:hAnsi="Cambria"/>
          <w:color w:val="275317" w:themeColor="accent6" w:themeShade="80"/>
        </w:rPr>
      </w:pPr>
      <w:r w:rsidRPr="000214AE">
        <w:rPr>
          <w:rFonts w:ascii="Cambria" w:hAnsi="Cambria"/>
          <w:color w:val="275317" w:themeColor="accent6" w:themeShade="80"/>
        </w:rPr>
        <w:t>Se solicitarán los certificados para cada modelo de luminaria. Dentro de cada modelo, se deberán aportar los certificados correspondientes a la luminaria de mayor potencia para cada tamaño, así como para cada driver diferente utilizado dentro del mismo tamaño.</w:t>
      </w:r>
    </w:p>
    <w:p w14:paraId="016768CB" w14:textId="77777777" w:rsidR="00891530" w:rsidRPr="00891530" w:rsidRDefault="00891530" w:rsidP="00E1521D">
      <w:pPr>
        <w:jc w:val="both"/>
        <w:rPr>
          <w:b/>
          <w:bCs/>
        </w:rPr>
      </w:pPr>
    </w:p>
    <w:p w14:paraId="772BE8F1" w14:textId="77777777" w:rsidR="00891530" w:rsidRPr="00891530" w:rsidRDefault="00891530" w:rsidP="00E1521D">
      <w:pPr>
        <w:jc w:val="both"/>
        <w:rPr>
          <w:b/>
          <w:bCs/>
        </w:rPr>
      </w:pPr>
    </w:p>
    <w:p w14:paraId="6A946467" w14:textId="77777777" w:rsidR="00891530" w:rsidRPr="00891530" w:rsidRDefault="00891530" w:rsidP="00E1521D">
      <w:pPr>
        <w:jc w:val="both"/>
        <w:rPr>
          <w:b/>
          <w:bCs/>
        </w:rPr>
      </w:pPr>
      <w:r w:rsidRPr="00891530">
        <w:rPr>
          <w:b/>
          <w:bCs/>
        </w:rPr>
        <w:t xml:space="preserve">Consulta </w:t>
      </w:r>
      <w:proofErr w:type="spellStart"/>
      <w:proofErr w:type="gramStart"/>
      <w:r w:rsidRPr="00891530">
        <w:rPr>
          <w:b/>
          <w:bCs/>
        </w:rPr>
        <w:t>No.xx</w:t>
      </w:r>
      <w:proofErr w:type="spellEnd"/>
      <w:r w:rsidRPr="00891530">
        <w:rPr>
          <w:b/>
          <w:bCs/>
        </w:rPr>
        <w:t>.</w:t>
      </w:r>
      <w:proofErr w:type="gramEnd"/>
      <w:r w:rsidRPr="00891530">
        <w:rPr>
          <w:b/>
          <w:bCs/>
        </w:rPr>
        <w:t xml:space="preserve"> Plazo insuficiente entre reunión previa y cierre de aclaraciones: solicitud urgente de extensión. Hoy 17 de abril se realiza la reunión previa. La fecha límite de aclaraciones es el 21 de abril de 2026 — apenas cuatro (4) días hábiles después. El DDL comprende 375 páginas, tres lotes de alta complejidad técnica, más de 30 requisitos documentales y Planillas de Datos Técnicos Garantizados (PDTG) que requieren análisis detallado para formular preguntas técnicas fundamentadas.</w:t>
      </w:r>
    </w:p>
    <w:p w14:paraId="59DCBCBA" w14:textId="77777777" w:rsidR="00891530" w:rsidRPr="00891530" w:rsidRDefault="00891530" w:rsidP="00E1521D">
      <w:pPr>
        <w:jc w:val="both"/>
        <w:rPr>
          <w:b/>
          <w:bCs/>
        </w:rPr>
      </w:pPr>
      <w:r w:rsidRPr="00891530">
        <w:rPr>
          <w:b/>
          <w:bCs/>
        </w:rPr>
        <w:t>El DEL BID y las Políticas GN-2349-15 exigen que los plazos del proceso sean razonables y permitan competencia efectiva. Cuatro días hábiles para procesar los resultados de la reunión previa y formular aclaraciones sobre un pliego de esta complejidad no satisface el estándar de razonabilidad. Se solicita formalmente la extensión del plazo de aclaraciones hasta el 30 de abril de 2026 como mínimo.</w:t>
      </w:r>
    </w:p>
    <w:p w14:paraId="04410856" w14:textId="77777777" w:rsidR="00891530" w:rsidRPr="00891530" w:rsidRDefault="00891530" w:rsidP="00E1521D">
      <w:pPr>
        <w:jc w:val="both"/>
        <w:rPr>
          <w:b/>
          <w:bCs/>
        </w:rPr>
      </w:pPr>
    </w:p>
    <w:p w14:paraId="4DE979C6" w14:textId="77777777" w:rsidR="00891530" w:rsidRPr="00891530" w:rsidRDefault="00891530" w:rsidP="00E1521D">
      <w:pPr>
        <w:jc w:val="both"/>
        <w:rPr>
          <w:b/>
          <w:bCs/>
        </w:rPr>
      </w:pPr>
      <w:r w:rsidRPr="00DD31A1">
        <w:rPr>
          <w:b/>
          <w:bCs/>
          <w:highlight w:val="green"/>
        </w:rPr>
        <w:lastRenderedPageBreak/>
        <w:t>Respuesta:</w:t>
      </w:r>
    </w:p>
    <w:p w14:paraId="02A99790" w14:textId="77777777" w:rsidR="00DD31A1" w:rsidRPr="00C80BA5" w:rsidRDefault="002A1AB7" w:rsidP="00DD31A1">
      <w:pPr>
        <w:jc w:val="both"/>
        <w:rPr>
          <w:rFonts w:ascii="Cambria" w:hAnsi="Cambria"/>
          <w:color w:val="275317" w:themeColor="accent6" w:themeShade="80"/>
        </w:rPr>
      </w:pPr>
      <w:r w:rsidRPr="00E8435F">
        <w:rPr>
          <w:rFonts w:ascii="Cambria" w:hAnsi="Cambria"/>
          <w:color w:val="275317" w:themeColor="accent6" w:themeShade="80"/>
        </w:rPr>
        <w:t>Valorar la posibilidad de ampliar el plazo de entrega de las ofertas.</w:t>
      </w:r>
      <w:r w:rsidR="00DD31A1">
        <w:rPr>
          <w:rFonts w:ascii="Cambria" w:hAnsi="Cambria"/>
          <w:color w:val="275317" w:themeColor="accent6" w:themeShade="80"/>
        </w:rPr>
        <w:t xml:space="preserve"> </w:t>
      </w:r>
      <w:r w:rsidR="00DD31A1" w:rsidRPr="00385D26">
        <w:rPr>
          <w:rFonts w:ascii="Cambria" w:hAnsi="Cambria"/>
          <w:color w:val="275317" w:themeColor="accent6" w:themeShade="80"/>
          <w:highlight w:val="yellow"/>
        </w:rPr>
        <w:t xml:space="preserve">(validar por el coordinador general de </w:t>
      </w:r>
      <w:proofErr w:type="spellStart"/>
      <w:r w:rsidR="00DD31A1" w:rsidRPr="00385D26">
        <w:rPr>
          <w:rFonts w:ascii="Cambria" w:hAnsi="Cambria"/>
          <w:color w:val="275317" w:themeColor="accent6" w:themeShade="80"/>
          <w:highlight w:val="yellow"/>
        </w:rPr>
        <w:t>uep</w:t>
      </w:r>
      <w:proofErr w:type="spellEnd"/>
      <w:r w:rsidR="00DD31A1" w:rsidRPr="00385D26">
        <w:rPr>
          <w:rFonts w:ascii="Cambria" w:hAnsi="Cambria"/>
          <w:color w:val="275317" w:themeColor="accent6" w:themeShade="80"/>
          <w:highlight w:val="yellow"/>
        </w:rPr>
        <w:t>)</w:t>
      </w:r>
      <w:r w:rsidR="00DD31A1">
        <w:rPr>
          <w:rFonts w:ascii="Cambria" w:hAnsi="Cambria"/>
          <w:color w:val="275317" w:themeColor="accent6" w:themeShade="80"/>
        </w:rPr>
        <w:t>.</w:t>
      </w:r>
    </w:p>
    <w:p w14:paraId="7EB7C7CF" w14:textId="77777777" w:rsidR="00891530" w:rsidRPr="00891530" w:rsidRDefault="00891530" w:rsidP="00E1521D">
      <w:pPr>
        <w:jc w:val="both"/>
        <w:rPr>
          <w:b/>
          <w:bCs/>
        </w:rPr>
      </w:pPr>
    </w:p>
    <w:p w14:paraId="6B79448F" w14:textId="77777777" w:rsidR="00891530" w:rsidRPr="00891530" w:rsidRDefault="00891530" w:rsidP="00E1521D">
      <w:pPr>
        <w:jc w:val="both"/>
        <w:rPr>
          <w:b/>
          <w:bCs/>
        </w:rPr>
      </w:pPr>
      <w:r w:rsidRPr="00891530">
        <w:rPr>
          <w:b/>
          <w:bCs/>
        </w:rPr>
        <w:t>Consulta No. xx. Garantía de oferta excede el límite máximo del 3% por lote. Fundamento legal: DEL Obras Menores IAO 18.2: “No deberá exceder el tres (3) por ciento del valor estimado de las Obras”. El DDL fija un monto único de US$1,164,000 sin distinguir entre lotes. Aplicado al Lote EDENORTE (valor estimado ~US$22M), representa el 5.3%. Supera consistentemente el límite del 3% en los tres lotes.</w:t>
      </w:r>
    </w:p>
    <w:p w14:paraId="2648259A" w14:textId="77777777" w:rsidR="00891530" w:rsidRPr="00891530" w:rsidRDefault="00891530" w:rsidP="00E1521D">
      <w:pPr>
        <w:jc w:val="both"/>
        <w:rPr>
          <w:b/>
          <w:bCs/>
        </w:rPr>
      </w:pPr>
      <w:r w:rsidRPr="00891530">
        <w:rPr>
          <w:b/>
          <w:bCs/>
        </w:rPr>
        <w:t>Petición concreta: Modificar la garantía a montos individuales por lote, calculados al 2.0%–2.5% del valor estimado. Orientativamente: EDESUR ~US$600,000; EDENORTE ~US$550,000; EDEESTE ~US$525,000. Emitir Adenda modificatoria.</w:t>
      </w:r>
    </w:p>
    <w:p w14:paraId="38D73DF7" w14:textId="77777777" w:rsidR="00891530" w:rsidRPr="00891530" w:rsidRDefault="00891530" w:rsidP="00E1521D">
      <w:pPr>
        <w:jc w:val="both"/>
        <w:rPr>
          <w:b/>
          <w:bCs/>
        </w:rPr>
      </w:pPr>
    </w:p>
    <w:p w14:paraId="34710F56" w14:textId="77777777" w:rsidR="00891530" w:rsidRPr="00891530" w:rsidRDefault="00891530" w:rsidP="00E1521D">
      <w:pPr>
        <w:jc w:val="both"/>
        <w:rPr>
          <w:b/>
          <w:bCs/>
        </w:rPr>
      </w:pPr>
      <w:r w:rsidRPr="00891530">
        <w:rPr>
          <w:b/>
          <w:bCs/>
        </w:rPr>
        <w:t>Respuesta:</w:t>
      </w:r>
    </w:p>
    <w:p w14:paraId="662E8075" w14:textId="59230158" w:rsidR="002A1AB7" w:rsidRPr="00C80BA5" w:rsidRDefault="002A1AB7" w:rsidP="00E1521D">
      <w:pPr>
        <w:jc w:val="both"/>
        <w:rPr>
          <w:rFonts w:ascii="Cambria" w:hAnsi="Cambria"/>
          <w:color w:val="275317" w:themeColor="accent6" w:themeShade="80"/>
        </w:rPr>
      </w:pPr>
      <w:r>
        <w:rPr>
          <w:rFonts w:ascii="Cambria" w:hAnsi="Cambria"/>
          <w:color w:val="275317" w:themeColor="accent6" w:themeShade="80"/>
        </w:rPr>
        <w:t>Consulta administrativa</w:t>
      </w:r>
      <w:r w:rsidRPr="00E8435F">
        <w:rPr>
          <w:rFonts w:ascii="Cambria" w:hAnsi="Cambria"/>
          <w:color w:val="275317" w:themeColor="accent6" w:themeShade="80"/>
        </w:rPr>
        <w:t>.</w:t>
      </w:r>
    </w:p>
    <w:p w14:paraId="6757AA27" w14:textId="77777777" w:rsidR="00891530" w:rsidRPr="00891530" w:rsidRDefault="00891530" w:rsidP="00E1521D">
      <w:pPr>
        <w:jc w:val="both"/>
        <w:rPr>
          <w:b/>
          <w:bCs/>
        </w:rPr>
      </w:pPr>
    </w:p>
    <w:p w14:paraId="29277EB9" w14:textId="77777777" w:rsidR="00891530" w:rsidRPr="00891530" w:rsidRDefault="00891530" w:rsidP="00E1521D">
      <w:pPr>
        <w:jc w:val="both"/>
        <w:rPr>
          <w:b/>
          <w:bCs/>
        </w:rPr>
      </w:pPr>
      <w:r w:rsidRPr="00891530">
        <w:rPr>
          <w:b/>
          <w:bCs/>
        </w:rPr>
        <w:t xml:space="preserve">Consulta </w:t>
      </w:r>
      <w:proofErr w:type="spellStart"/>
      <w:r w:rsidRPr="00891530">
        <w:rPr>
          <w:b/>
          <w:bCs/>
        </w:rPr>
        <w:t>No.xxx</w:t>
      </w:r>
      <w:proofErr w:type="spellEnd"/>
      <w:r w:rsidRPr="00891530">
        <w:rPr>
          <w:b/>
          <w:bCs/>
        </w:rPr>
        <w:t>. Precios fijos sin fórmula de ajuste en contratos de alta magnitud. Fundamento legal: De conformidad con la GN-2349-15, numeral 2.52, y las cláusulas del DEL, en contratos de larga duración o de alta magnitud se recomienda la inclusión de fórmulas de ajuste de precios. No obstante, la cláusula IAL 17.7 del DDL establece precios fijos sin ajuste durante la ejecución.</w:t>
      </w:r>
    </w:p>
    <w:p w14:paraId="6B354FE7" w14:textId="77777777" w:rsidR="00891530" w:rsidRPr="00891530" w:rsidRDefault="00891530" w:rsidP="00E1521D">
      <w:pPr>
        <w:jc w:val="both"/>
        <w:rPr>
          <w:b/>
          <w:bCs/>
        </w:rPr>
      </w:pPr>
      <w:r w:rsidRPr="00891530">
        <w:rPr>
          <w:b/>
          <w:bCs/>
        </w:rPr>
        <w:t>En este contexto, contratos por montos entre US$16 millones y US$22 millones por lote, ejecutados en plazos de varios meses y bajo un entorno de inflación en la República Dominicana estimada entre 6 % y 8 % anual, trasladan un riesgo desproporcionado al contratista.</w:t>
      </w:r>
    </w:p>
    <w:p w14:paraId="774742CE" w14:textId="77777777" w:rsidR="00891530" w:rsidRPr="00891530" w:rsidRDefault="00891530" w:rsidP="00E1521D">
      <w:pPr>
        <w:jc w:val="both"/>
        <w:rPr>
          <w:b/>
          <w:bCs/>
        </w:rPr>
      </w:pPr>
      <w:r w:rsidRPr="00891530">
        <w:rPr>
          <w:b/>
          <w:bCs/>
        </w:rPr>
        <w:t>Petición concreta: Se solicita incorporar una fórmula de ajuste de precios aplicable a la porción correspondiente a mano de obra y costos locales, indexada al Índice de Precios al Consumidor (IPC) publicado por el Banco Central de la República Dominicana.</w:t>
      </w:r>
    </w:p>
    <w:p w14:paraId="03DADCA4" w14:textId="77777777" w:rsidR="00891530" w:rsidRPr="00891530" w:rsidRDefault="00891530" w:rsidP="00E1521D">
      <w:pPr>
        <w:jc w:val="both"/>
        <w:rPr>
          <w:b/>
          <w:bCs/>
        </w:rPr>
      </w:pPr>
      <w:r w:rsidRPr="00891530">
        <w:rPr>
          <w:b/>
          <w:bCs/>
        </w:rPr>
        <w:t>Como alternativa, se propone establecer un plazo de ejecución suficientemente corto, acompañado de una justificación técnica debidamente documentada que sustente la no aplicación de dicha fórmula de ajuste.</w:t>
      </w:r>
    </w:p>
    <w:p w14:paraId="7E4F202B" w14:textId="77777777" w:rsidR="00891530" w:rsidRPr="00891530" w:rsidRDefault="00891530" w:rsidP="00E1521D">
      <w:pPr>
        <w:jc w:val="both"/>
        <w:rPr>
          <w:b/>
          <w:bCs/>
        </w:rPr>
      </w:pPr>
    </w:p>
    <w:p w14:paraId="3C921259" w14:textId="77777777" w:rsidR="00891530" w:rsidRPr="00891530" w:rsidRDefault="00891530" w:rsidP="00E1521D">
      <w:pPr>
        <w:jc w:val="both"/>
        <w:rPr>
          <w:b/>
          <w:bCs/>
        </w:rPr>
      </w:pPr>
      <w:r w:rsidRPr="00DD31A1">
        <w:rPr>
          <w:b/>
          <w:bCs/>
          <w:highlight w:val="green"/>
        </w:rPr>
        <w:t>Respuesta:</w:t>
      </w:r>
    </w:p>
    <w:p w14:paraId="2EF772F3" w14:textId="1B27D94B" w:rsidR="002A1AB7" w:rsidRPr="00C80BA5" w:rsidRDefault="002A1AB7" w:rsidP="00E1521D">
      <w:pPr>
        <w:jc w:val="both"/>
        <w:rPr>
          <w:rFonts w:ascii="Cambria" w:hAnsi="Cambria"/>
          <w:color w:val="275317" w:themeColor="accent6" w:themeShade="80"/>
        </w:rPr>
      </w:pPr>
      <w:r w:rsidRPr="00E8435F">
        <w:rPr>
          <w:rFonts w:ascii="Cambria" w:hAnsi="Cambria"/>
          <w:color w:val="275317" w:themeColor="accent6" w:themeShade="80"/>
        </w:rPr>
        <w:t>Valorar la posibilidad de ampliar el plazo de entrega de las ofertas.</w:t>
      </w:r>
      <w:r w:rsidR="00DD31A1" w:rsidRPr="00DD31A1">
        <w:rPr>
          <w:rFonts w:ascii="Cambria" w:hAnsi="Cambria"/>
          <w:color w:val="275317" w:themeColor="accent6" w:themeShade="80"/>
          <w:highlight w:val="yellow"/>
        </w:rPr>
        <w:t xml:space="preserve"> </w:t>
      </w:r>
      <w:r w:rsidR="00DD31A1" w:rsidRPr="00385D26">
        <w:rPr>
          <w:rFonts w:ascii="Cambria" w:hAnsi="Cambria"/>
          <w:color w:val="275317" w:themeColor="accent6" w:themeShade="80"/>
          <w:highlight w:val="yellow"/>
        </w:rPr>
        <w:t xml:space="preserve">(validar por el coordinador general de </w:t>
      </w:r>
      <w:proofErr w:type="spellStart"/>
      <w:r w:rsidR="00DD31A1" w:rsidRPr="00385D26">
        <w:rPr>
          <w:rFonts w:ascii="Cambria" w:hAnsi="Cambria"/>
          <w:color w:val="275317" w:themeColor="accent6" w:themeShade="80"/>
          <w:highlight w:val="yellow"/>
        </w:rPr>
        <w:t>uep</w:t>
      </w:r>
      <w:proofErr w:type="spellEnd"/>
      <w:r w:rsidR="00DD31A1" w:rsidRPr="00385D26">
        <w:rPr>
          <w:rFonts w:ascii="Cambria" w:hAnsi="Cambria"/>
          <w:color w:val="275317" w:themeColor="accent6" w:themeShade="80"/>
          <w:highlight w:val="yellow"/>
        </w:rPr>
        <w:t>)</w:t>
      </w:r>
      <w:r w:rsidR="00DD31A1">
        <w:rPr>
          <w:rFonts w:ascii="Cambria" w:hAnsi="Cambria"/>
          <w:color w:val="275317" w:themeColor="accent6" w:themeShade="80"/>
        </w:rPr>
        <w:t>.</w:t>
      </w:r>
    </w:p>
    <w:p w14:paraId="799F44F2" w14:textId="77777777" w:rsidR="00891530" w:rsidRPr="00891530" w:rsidRDefault="00891530" w:rsidP="00E1521D">
      <w:pPr>
        <w:jc w:val="both"/>
        <w:rPr>
          <w:b/>
          <w:bCs/>
        </w:rPr>
      </w:pPr>
    </w:p>
    <w:p w14:paraId="6E24EC6D" w14:textId="77777777" w:rsidR="00891530" w:rsidRPr="00891530" w:rsidRDefault="00891530" w:rsidP="00E1521D">
      <w:pPr>
        <w:jc w:val="both"/>
        <w:rPr>
          <w:b/>
          <w:bCs/>
        </w:rPr>
      </w:pPr>
      <w:r w:rsidRPr="00891530">
        <w:rPr>
          <w:b/>
          <w:bCs/>
        </w:rPr>
        <w:t>Consulta No. xxx. El requisito de 250,000 nodos instalados excede el objeto del contrato. Fundamento legal: De conformidad con la GN-2349-15, numerales 2.4 y 1.20, los criterios de calificación deben ser proporcionales al objeto del contrato. En el presente caso, el proyecto contempla aproximadamente 200,000 luminarias distribuidas en tres lotes.</w:t>
      </w:r>
    </w:p>
    <w:p w14:paraId="198EFCD3" w14:textId="77777777" w:rsidR="00891530" w:rsidRPr="00891530" w:rsidRDefault="00891530" w:rsidP="00E1521D">
      <w:pPr>
        <w:jc w:val="both"/>
        <w:rPr>
          <w:b/>
          <w:bCs/>
        </w:rPr>
      </w:pPr>
      <w:r w:rsidRPr="00891530">
        <w:rPr>
          <w:b/>
          <w:bCs/>
        </w:rPr>
        <w:t>En consecuencia, exigir un mínimo de 250,000 nodos instalados equivale al 125 % del alcance total del proyecto, lo cual resulta desproporcionado. Asimismo, no se evidencia en el pliego una justificación técnica documentada que sustente dicho nivel de exigencia.</w:t>
      </w:r>
    </w:p>
    <w:p w14:paraId="1D85DB6F" w14:textId="77777777" w:rsidR="00891530" w:rsidRPr="00891530" w:rsidRDefault="00891530" w:rsidP="00E1521D">
      <w:pPr>
        <w:jc w:val="both"/>
        <w:rPr>
          <w:b/>
          <w:bCs/>
        </w:rPr>
      </w:pPr>
      <w:r w:rsidRPr="00891530">
        <w:rPr>
          <w:b/>
          <w:bCs/>
        </w:rPr>
        <w:lastRenderedPageBreak/>
        <w:t>Petición concreta: Se solicita reducir el requisito mínimo de experiencia en instalación a un rango de entre 60,000 y 80,000 nodos, en proporción al lote de mayor tamaño.</w:t>
      </w:r>
    </w:p>
    <w:p w14:paraId="333FEE51" w14:textId="77777777" w:rsidR="00891530" w:rsidRPr="00891530" w:rsidRDefault="00891530" w:rsidP="00E1521D">
      <w:pPr>
        <w:jc w:val="both"/>
        <w:rPr>
          <w:b/>
          <w:bCs/>
        </w:rPr>
      </w:pPr>
      <w:r w:rsidRPr="00891530">
        <w:rPr>
          <w:b/>
          <w:bCs/>
        </w:rPr>
        <w:t>Adicionalmente, se propone redefinir la escala de evaluación de la siguiente manera:</w:t>
      </w:r>
    </w:p>
    <w:p w14:paraId="36A66DB9" w14:textId="77777777" w:rsidR="00891530" w:rsidRPr="00891530" w:rsidRDefault="00891530" w:rsidP="00E1521D">
      <w:pPr>
        <w:numPr>
          <w:ilvl w:val="0"/>
          <w:numId w:val="30"/>
        </w:numPr>
        <w:jc w:val="both"/>
        <w:rPr>
          <w:b/>
          <w:bCs/>
        </w:rPr>
      </w:pPr>
      <w:r w:rsidRPr="00891530">
        <w:rPr>
          <w:b/>
          <w:bCs/>
        </w:rPr>
        <w:t xml:space="preserve">Aceptable: 60,000 nodos </w:t>
      </w:r>
    </w:p>
    <w:p w14:paraId="29CC12F2" w14:textId="77777777" w:rsidR="00891530" w:rsidRPr="00891530" w:rsidRDefault="00891530" w:rsidP="00E1521D">
      <w:pPr>
        <w:numPr>
          <w:ilvl w:val="0"/>
          <w:numId w:val="30"/>
        </w:numPr>
        <w:jc w:val="both"/>
        <w:rPr>
          <w:b/>
          <w:bCs/>
        </w:rPr>
      </w:pPr>
      <w:r w:rsidRPr="00891530">
        <w:rPr>
          <w:b/>
          <w:bCs/>
        </w:rPr>
        <w:t xml:space="preserve">Adecuado: 100,000 nodos </w:t>
      </w:r>
    </w:p>
    <w:p w14:paraId="14FFA55C" w14:textId="77777777" w:rsidR="00891530" w:rsidRPr="00891530" w:rsidRDefault="00891530" w:rsidP="00E1521D">
      <w:pPr>
        <w:numPr>
          <w:ilvl w:val="0"/>
          <w:numId w:val="30"/>
        </w:numPr>
        <w:jc w:val="both"/>
        <w:rPr>
          <w:b/>
          <w:bCs/>
        </w:rPr>
      </w:pPr>
      <w:r w:rsidRPr="00891530">
        <w:rPr>
          <w:b/>
          <w:bCs/>
        </w:rPr>
        <w:t xml:space="preserve">Óptimo: 150,000 nodos </w:t>
      </w:r>
    </w:p>
    <w:p w14:paraId="2E776CED" w14:textId="77777777" w:rsidR="00891530" w:rsidRPr="00891530" w:rsidRDefault="00891530" w:rsidP="00E1521D">
      <w:pPr>
        <w:jc w:val="both"/>
        <w:rPr>
          <w:b/>
          <w:bCs/>
        </w:rPr>
      </w:pPr>
      <w:r w:rsidRPr="00891530">
        <w:rPr>
          <w:b/>
          <w:bCs/>
        </w:rPr>
        <w:t>Finalmente, se recomienda emitir una Adenda que modifique la Sección III, numeral §4.2(b), en concordancia con lo anterior.</w:t>
      </w:r>
    </w:p>
    <w:p w14:paraId="369A83E9" w14:textId="77777777" w:rsidR="00891530" w:rsidRPr="00891530" w:rsidRDefault="00891530" w:rsidP="00E1521D">
      <w:pPr>
        <w:jc w:val="both"/>
        <w:rPr>
          <w:b/>
          <w:bCs/>
        </w:rPr>
      </w:pPr>
    </w:p>
    <w:p w14:paraId="60C343E1" w14:textId="77777777" w:rsidR="00891530" w:rsidRPr="00891530" w:rsidRDefault="00891530" w:rsidP="00E1521D">
      <w:pPr>
        <w:jc w:val="both"/>
        <w:rPr>
          <w:b/>
          <w:bCs/>
        </w:rPr>
      </w:pPr>
      <w:r w:rsidRPr="00891530">
        <w:rPr>
          <w:b/>
          <w:bCs/>
        </w:rPr>
        <w:t>Respuesta:</w:t>
      </w:r>
    </w:p>
    <w:p w14:paraId="08E797E5" w14:textId="77777777" w:rsidR="00DD31A1" w:rsidRPr="00C80BA5" w:rsidRDefault="002A1AB7" w:rsidP="00DD31A1">
      <w:pPr>
        <w:jc w:val="both"/>
        <w:rPr>
          <w:rFonts w:ascii="Cambria" w:hAnsi="Cambria"/>
          <w:color w:val="275317" w:themeColor="accent6" w:themeShade="80"/>
        </w:rPr>
      </w:pPr>
      <w:r w:rsidRPr="000F1A93">
        <w:rPr>
          <w:rFonts w:ascii="Cambria" w:hAnsi="Cambria"/>
          <w:color w:val="275317" w:themeColor="accent6" w:themeShade="80"/>
        </w:rPr>
        <w:t>Esta licitación incluye exclusivamente el suministro e instalación de luminarias</w:t>
      </w:r>
      <w:r w:rsidRPr="00F539B2">
        <w:rPr>
          <w:rFonts w:ascii="Cambria" w:hAnsi="Cambria"/>
          <w:color w:val="275317" w:themeColor="accent6" w:themeShade="80"/>
        </w:rPr>
        <w:t>, no de nodos de telegestión.</w:t>
      </w:r>
      <w:r>
        <w:rPr>
          <w:rFonts w:ascii="Cambria" w:hAnsi="Cambria"/>
          <w:color w:val="275317" w:themeColor="accent6" w:themeShade="80"/>
        </w:rPr>
        <w:t xml:space="preserve"> Revisar el requerimiento de experiencia.</w:t>
      </w:r>
      <w:r w:rsidR="00DD31A1">
        <w:rPr>
          <w:rFonts w:ascii="Cambria" w:hAnsi="Cambria"/>
          <w:color w:val="275317" w:themeColor="accent6" w:themeShade="80"/>
        </w:rPr>
        <w:t xml:space="preserve"> </w:t>
      </w:r>
      <w:r w:rsidR="00DD31A1" w:rsidRPr="00385D26">
        <w:rPr>
          <w:rFonts w:ascii="Cambria" w:hAnsi="Cambria"/>
          <w:color w:val="275317" w:themeColor="accent6" w:themeShade="80"/>
          <w:highlight w:val="yellow"/>
        </w:rPr>
        <w:t xml:space="preserve">(validar por el coordinador general de </w:t>
      </w:r>
      <w:proofErr w:type="spellStart"/>
      <w:r w:rsidR="00DD31A1" w:rsidRPr="00385D26">
        <w:rPr>
          <w:rFonts w:ascii="Cambria" w:hAnsi="Cambria"/>
          <w:color w:val="275317" w:themeColor="accent6" w:themeShade="80"/>
          <w:highlight w:val="yellow"/>
        </w:rPr>
        <w:t>uep</w:t>
      </w:r>
      <w:proofErr w:type="spellEnd"/>
      <w:r w:rsidR="00DD31A1" w:rsidRPr="00385D26">
        <w:rPr>
          <w:rFonts w:ascii="Cambria" w:hAnsi="Cambria"/>
          <w:color w:val="275317" w:themeColor="accent6" w:themeShade="80"/>
          <w:highlight w:val="yellow"/>
        </w:rPr>
        <w:t>)</w:t>
      </w:r>
      <w:r w:rsidR="00DD31A1">
        <w:rPr>
          <w:rFonts w:ascii="Cambria" w:hAnsi="Cambria"/>
          <w:color w:val="275317" w:themeColor="accent6" w:themeShade="80"/>
        </w:rPr>
        <w:t>.</w:t>
      </w:r>
    </w:p>
    <w:p w14:paraId="7DDA6346" w14:textId="77777777" w:rsidR="00891530" w:rsidRPr="00891530" w:rsidRDefault="00891530" w:rsidP="00E1521D">
      <w:pPr>
        <w:jc w:val="both"/>
        <w:rPr>
          <w:b/>
          <w:bCs/>
        </w:rPr>
      </w:pPr>
    </w:p>
    <w:p w14:paraId="3E1F5DB4" w14:textId="77777777" w:rsidR="00891530" w:rsidRPr="00891530" w:rsidRDefault="00891530" w:rsidP="00E1521D">
      <w:pPr>
        <w:jc w:val="both"/>
        <w:rPr>
          <w:b/>
          <w:bCs/>
        </w:rPr>
      </w:pPr>
      <w:r w:rsidRPr="00891530">
        <w:rPr>
          <w:b/>
          <w:bCs/>
        </w:rPr>
        <w:t>Consulta No. XX. El Contratante reconoció explícitamente el efecto excluyente del proceso — admisión oficial contraria al principio de igualdad BID. Fundamento legal: GN-2349-15 §1.2(d) Igualdad: “dar a todos los oferentes elegibles… la misma información e igual oportunidad de competir.” GN-2349-15 §2.4: el proceso debe “atraer el interés de empresas tanto grandes como pequeñas.” La carta INT-MEM-2026-4731 firmada por el ministro Joel Santos Echavarría afirma que la participación local requiere “articularse con fabricantes o integradores internacionales”, lo que equivale a admitir que las PYMES dominicanas no pueden participar de forma independiente. Esta admisión, proveniente del propio Contratante, es incompatible con el principio de igualdad del BID.</w:t>
      </w:r>
    </w:p>
    <w:p w14:paraId="545AA42C" w14:textId="77777777" w:rsidR="00891530" w:rsidRPr="00891530" w:rsidRDefault="00891530" w:rsidP="00E1521D">
      <w:pPr>
        <w:jc w:val="both"/>
        <w:rPr>
          <w:b/>
          <w:bCs/>
        </w:rPr>
      </w:pPr>
      <w:r w:rsidRPr="00891530">
        <w:rPr>
          <w:b/>
          <w:bCs/>
        </w:rPr>
        <w:t>Petición concreta: Solicitar al Contratante que explique cómo concilia esta admisión con el principio de igualdad del BID. Solicitar la justificación técnica específica de cada umbral de experiencia, citando la norma BID que mandate dichos niveles. Si no existe tal norma, los umbrales son una decisión discrecional del Contratante que debe ser revisada.</w:t>
      </w:r>
    </w:p>
    <w:p w14:paraId="34590766" w14:textId="77777777" w:rsidR="00891530" w:rsidRPr="00891530" w:rsidRDefault="00891530" w:rsidP="00E1521D">
      <w:pPr>
        <w:jc w:val="both"/>
        <w:rPr>
          <w:b/>
          <w:bCs/>
        </w:rPr>
      </w:pPr>
    </w:p>
    <w:p w14:paraId="567D9E9B" w14:textId="77777777" w:rsidR="00891530" w:rsidRPr="00891530" w:rsidRDefault="00891530" w:rsidP="00E1521D">
      <w:pPr>
        <w:jc w:val="both"/>
        <w:rPr>
          <w:b/>
          <w:bCs/>
        </w:rPr>
      </w:pPr>
      <w:r w:rsidRPr="00891530">
        <w:rPr>
          <w:b/>
          <w:bCs/>
        </w:rPr>
        <w:t>Respuesta:</w:t>
      </w:r>
    </w:p>
    <w:p w14:paraId="103BB67F" w14:textId="3E957FDD" w:rsidR="002A1AB7" w:rsidRPr="00F539B2" w:rsidRDefault="002A1AB7" w:rsidP="00E1521D">
      <w:pPr>
        <w:jc w:val="both"/>
        <w:rPr>
          <w:rFonts w:ascii="Cambria" w:hAnsi="Cambria"/>
          <w:color w:val="275317" w:themeColor="accent6" w:themeShade="80"/>
        </w:rPr>
      </w:pPr>
      <w:proofErr w:type="gramStart"/>
      <w:r>
        <w:rPr>
          <w:rFonts w:ascii="Cambria" w:hAnsi="Cambria"/>
          <w:color w:val="275317" w:themeColor="accent6" w:themeShade="80"/>
        </w:rPr>
        <w:t>Consulta administrativas</w:t>
      </w:r>
      <w:proofErr w:type="gramEnd"/>
    </w:p>
    <w:p w14:paraId="256B9FB6" w14:textId="77777777" w:rsidR="00891530" w:rsidRPr="00891530" w:rsidRDefault="00891530" w:rsidP="00E1521D">
      <w:pPr>
        <w:jc w:val="both"/>
        <w:rPr>
          <w:b/>
          <w:bCs/>
        </w:rPr>
      </w:pPr>
    </w:p>
    <w:p w14:paraId="2CDACA62" w14:textId="77777777" w:rsidR="00891530" w:rsidRPr="00891530" w:rsidRDefault="00891530" w:rsidP="00E1521D">
      <w:pPr>
        <w:jc w:val="both"/>
        <w:rPr>
          <w:b/>
          <w:bCs/>
        </w:rPr>
      </w:pPr>
      <w:r w:rsidRPr="00891530">
        <w:rPr>
          <w:b/>
          <w:bCs/>
        </w:rPr>
        <w:t xml:space="preserve">Consulta </w:t>
      </w:r>
      <w:proofErr w:type="spellStart"/>
      <w:proofErr w:type="gramStart"/>
      <w:r w:rsidRPr="00891530">
        <w:rPr>
          <w:b/>
          <w:bCs/>
        </w:rPr>
        <w:t>No.xx</w:t>
      </w:r>
      <w:proofErr w:type="spellEnd"/>
      <w:r w:rsidRPr="00891530">
        <w:rPr>
          <w:b/>
          <w:bCs/>
        </w:rPr>
        <w:t>.</w:t>
      </w:r>
      <w:proofErr w:type="gramEnd"/>
      <w:r w:rsidRPr="00891530">
        <w:rPr>
          <w:b/>
          <w:bCs/>
        </w:rPr>
        <w:t xml:space="preserve"> El proceso fue diseñado con criterios excluyentes de forma deliberada y con conocimiento previo — violación del principio de transparencia. Fundamento legal: GN-2349-15 §1.2(e) Transparencia: “la información pertinente sobre adquisiciones se ponga a disposición de todas las partes interesadas de manera sistemática y oportuna.” La carta INT-MEM-2026-4731 es del 30 de marzo de 2026. Los pliegos se publicaron el 31 de marzo de 2026 (meta data del PDF). Esto demuestra que el MEM publicó los pliegos con pleno conocimiento de las preocupaciones del sector y sin incorporar ninguna modificación ni justificación documentada en el pliego de los criterios cuestionados. Los pliegos no contienen justificación técnica de por qué los umbrales de experiencia son necesarios a los niveles fijados, lo que vulnera el principio de transparencia.</w:t>
      </w:r>
    </w:p>
    <w:p w14:paraId="6092CD18" w14:textId="77777777" w:rsidR="00891530" w:rsidRPr="00891530" w:rsidRDefault="00891530" w:rsidP="00E1521D">
      <w:pPr>
        <w:jc w:val="both"/>
        <w:rPr>
          <w:b/>
          <w:bCs/>
        </w:rPr>
      </w:pPr>
      <w:r w:rsidRPr="00891530">
        <w:rPr>
          <w:b/>
          <w:bCs/>
        </w:rPr>
        <w:t xml:space="preserve">Petición concreta: Incluir en el pliego, mediante Adenda, la justificación técnica documentada de cada criterio de calificación cuestionado, especificando la norma BID o referencia técnica internacional que ampara cada umbral. La falta de </w:t>
      </w:r>
      <w:r w:rsidRPr="00891530">
        <w:rPr>
          <w:b/>
          <w:bCs/>
        </w:rPr>
        <w:lastRenderedPageBreak/>
        <w:t>justificación, combinada con el conocimiento previo del efecto excluyente, constituye evidencia de diseño no transparente.</w:t>
      </w:r>
    </w:p>
    <w:p w14:paraId="7AD2F419" w14:textId="77777777" w:rsidR="00891530" w:rsidRPr="00891530" w:rsidRDefault="00891530" w:rsidP="00E1521D">
      <w:pPr>
        <w:jc w:val="both"/>
        <w:rPr>
          <w:b/>
          <w:bCs/>
        </w:rPr>
      </w:pPr>
    </w:p>
    <w:p w14:paraId="09EB4FE2" w14:textId="77777777" w:rsidR="00891530" w:rsidRPr="00891530" w:rsidRDefault="00891530" w:rsidP="00E1521D">
      <w:pPr>
        <w:jc w:val="both"/>
        <w:rPr>
          <w:b/>
          <w:bCs/>
        </w:rPr>
      </w:pPr>
      <w:r w:rsidRPr="00891530">
        <w:rPr>
          <w:b/>
          <w:bCs/>
        </w:rPr>
        <w:t>Respuesta:</w:t>
      </w:r>
    </w:p>
    <w:p w14:paraId="584D0F82" w14:textId="64588C3E" w:rsidR="00891530" w:rsidRPr="00891530" w:rsidRDefault="002A1AB7" w:rsidP="00E1521D">
      <w:pPr>
        <w:jc w:val="both"/>
        <w:rPr>
          <w:b/>
          <w:bCs/>
        </w:rPr>
      </w:pPr>
      <w:proofErr w:type="gramStart"/>
      <w:r>
        <w:rPr>
          <w:rFonts w:ascii="Cambria" w:hAnsi="Cambria"/>
          <w:color w:val="275317" w:themeColor="accent6" w:themeShade="80"/>
        </w:rPr>
        <w:t>Consulta administrativas</w:t>
      </w:r>
      <w:proofErr w:type="gramEnd"/>
      <w:r w:rsidR="00DD31A1">
        <w:rPr>
          <w:b/>
          <w:bCs/>
        </w:rPr>
        <w:t>.</w:t>
      </w:r>
    </w:p>
    <w:p w14:paraId="1F58D7BA" w14:textId="77777777" w:rsidR="00891530" w:rsidRPr="00891530" w:rsidRDefault="00891530" w:rsidP="00E1521D">
      <w:pPr>
        <w:jc w:val="both"/>
        <w:rPr>
          <w:b/>
          <w:bCs/>
        </w:rPr>
      </w:pPr>
    </w:p>
    <w:p w14:paraId="2E58CAD2" w14:textId="77777777" w:rsidR="00891530" w:rsidRPr="00891530" w:rsidRDefault="00891530" w:rsidP="00E1521D">
      <w:pPr>
        <w:jc w:val="both"/>
        <w:rPr>
          <w:b/>
          <w:bCs/>
        </w:rPr>
      </w:pPr>
      <w:r w:rsidRPr="00891530">
        <w:rPr>
          <w:b/>
          <w:bCs/>
        </w:rPr>
        <w:t>Consulta No. xx. Facturación mínima exigida es desproporcionada para PYMES dominicanas. Fundamento legal: GN-2349-15 §2.4 y §1.3: el proceso debe permitir participación de empresas grandes y pequeñas. El DDL Sección III §3.2 exige facturación promedio anual de US$13.8M–19.4M en sector eléctrico, equivalente al 65–88% del valor del contrato por año. No existe justificación técnica documentada. La Circular ASUME CD-64-I confirma que este requisito excluye a la mayoría de las empresas locales.</w:t>
      </w:r>
    </w:p>
    <w:p w14:paraId="1F69A25F" w14:textId="77777777" w:rsidR="00891530" w:rsidRPr="00891530" w:rsidRDefault="00891530" w:rsidP="00E1521D">
      <w:pPr>
        <w:jc w:val="both"/>
        <w:rPr>
          <w:b/>
          <w:bCs/>
        </w:rPr>
      </w:pPr>
      <w:r w:rsidRPr="00891530">
        <w:rPr>
          <w:b/>
          <w:bCs/>
        </w:rPr>
        <w:t>Petición concreta: Reducir el umbral de facturación al 60% del valor estimado del lote de interés. Incluir justificación técnica del nivel exigido en el pliego. Permitir que la facturación acumulada de miembros de un Consorcio sea contabilizada con pesos proporcionales.</w:t>
      </w:r>
    </w:p>
    <w:p w14:paraId="3286E650" w14:textId="77777777" w:rsidR="00891530" w:rsidRPr="00891530" w:rsidRDefault="00891530" w:rsidP="00E1521D">
      <w:pPr>
        <w:jc w:val="both"/>
        <w:rPr>
          <w:b/>
          <w:bCs/>
        </w:rPr>
      </w:pPr>
    </w:p>
    <w:p w14:paraId="7C3E4FB2" w14:textId="77777777" w:rsidR="00891530" w:rsidRPr="00891530" w:rsidRDefault="00891530" w:rsidP="00E1521D">
      <w:pPr>
        <w:jc w:val="both"/>
        <w:rPr>
          <w:b/>
          <w:bCs/>
        </w:rPr>
      </w:pPr>
      <w:r w:rsidRPr="00891530">
        <w:rPr>
          <w:b/>
          <w:bCs/>
        </w:rPr>
        <w:t>Respuesta:</w:t>
      </w:r>
    </w:p>
    <w:p w14:paraId="5B44E2AC" w14:textId="5AF203D7" w:rsidR="00891530" w:rsidRPr="00891530" w:rsidRDefault="002A1AB7" w:rsidP="00E1521D">
      <w:pPr>
        <w:jc w:val="both"/>
        <w:rPr>
          <w:b/>
          <w:bCs/>
        </w:rPr>
      </w:pPr>
      <w:proofErr w:type="gramStart"/>
      <w:r>
        <w:rPr>
          <w:rFonts w:ascii="Cambria" w:hAnsi="Cambria"/>
          <w:color w:val="275317" w:themeColor="accent6" w:themeShade="80"/>
        </w:rPr>
        <w:t>Consulta administrativas</w:t>
      </w:r>
      <w:proofErr w:type="gramEnd"/>
      <w:r w:rsidR="00DD31A1">
        <w:rPr>
          <w:b/>
          <w:bCs/>
        </w:rPr>
        <w:t>.</w:t>
      </w:r>
    </w:p>
    <w:p w14:paraId="7CB8D49F" w14:textId="77777777" w:rsidR="00891530" w:rsidRPr="00891530" w:rsidRDefault="00891530" w:rsidP="00E1521D">
      <w:pPr>
        <w:jc w:val="both"/>
        <w:rPr>
          <w:b/>
          <w:bCs/>
        </w:rPr>
      </w:pPr>
    </w:p>
    <w:p w14:paraId="59C1C66E" w14:textId="77777777" w:rsidR="00891530" w:rsidRPr="00891530" w:rsidRDefault="00891530" w:rsidP="00E1521D">
      <w:pPr>
        <w:jc w:val="both"/>
        <w:rPr>
          <w:b/>
          <w:bCs/>
        </w:rPr>
      </w:pPr>
      <w:r w:rsidRPr="00891530">
        <w:rPr>
          <w:b/>
          <w:bCs/>
        </w:rPr>
        <w:t xml:space="preserve">Consulta </w:t>
      </w:r>
      <w:proofErr w:type="spellStart"/>
      <w:proofErr w:type="gramStart"/>
      <w:r w:rsidRPr="00891530">
        <w:rPr>
          <w:b/>
          <w:bCs/>
        </w:rPr>
        <w:t>No.xx</w:t>
      </w:r>
      <w:proofErr w:type="spellEnd"/>
      <w:r w:rsidRPr="00891530">
        <w:rPr>
          <w:b/>
          <w:bCs/>
        </w:rPr>
        <w:t>.</w:t>
      </w:r>
      <w:proofErr w:type="gramEnd"/>
      <w:r w:rsidRPr="00891530">
        <w:rPr>
          <w:b/>
          <w:bCs/>
        </w:rPr>
        <w:t xml:space="preserve"> Puntaje mínimo técnico del 80% excede el estándar BID y crea filtro doble excluyente. Fundamento legal: Los DEL BID establecen generalmente el umbral mínimo técnico en el rango del 65%–70%. El DDL Sección III, 1.1 exige 32/40 puntos (80%). Combinado con criterios de experiencia altamente restrictivos, crea un doble filtro que puede eliminar ofertas técnicamente sólidas y económicamente ventajosas para el Prestatario.</w:t>
      </w:r>
    </w:p>
    <w:p w14:paraId="79E64EBC" w14:textId="77777777" w:rsidR="00891530" w:rsidRPr="00891530" w:rsidRDefault="00891530" w:rsidP="00E1521D">
      <w:pPr>
        <w:jc w:val="both"/>
        <w:rPr>
          <w:b/>
          <w:bCs/>
        </w:rPr>
      </w:pPr>
      <w:r w:rsidRPr="00891530">
        <w:rPr>
          <w:b/>
          <w:bCs/>
        </w:rPr>
        <w:t>Petición concreta: Reducir el puntaje mínimo técnico al 70% (28/40 puntos), en línea con el estándar BID. Alternativamente, incluir justificación técnica documentada de por qué este contrato requiere un umbral superior al estándar.</w:t>
      </w:r>
    </w:p>
    <w:p w14:paraId="13678E44" w14:textId="77777777" w:rsidR="00891530" w:rsidRPr="00891530" w:rsidRDefault="00891530" w:rsidP="00E1521D">
      <w:pPr>
        <w:jc w:val="both"/>
        <w:rPr>
          <w:b/>
          <w:bCs/>
        </w:rPr>
      </w:pPr>
    </w:p>
    <w:p w14:paraId="06C985DF" w14:textId="77777777" w:rsidR="00891530" w:rsidRPr="00891530" w:rsidRDefault="00891530" w:rsidP="00E1521D">
      <w:pPr>
        <w:jc w:val="both"/>
        <w:rPr>
          <w:b/>
          <w:bCs/>
        </w:rPr>
      </w:pPr>
      <w:r w:rsidRPr="00891530">
        <w:rPr>
          <w:b/>
          <w:bCs/>
        </w:rPr>
        <w:t>Respuesta:</w:t>
      </w:r>
    </w:p>
    <w:p w14:paraId="266FC5D5" w14:textId="118A37DC" w:rsidR="002A1AB7" w:rsidRPr="00891530" w:rsidRDefault="002A1AB7" w:rsidP="00E1521D">
      <w:pPr>
        <w:jc w:val="both"/>
        <w:rPr>
          <w:b/>
          <w:bCs/>
        </w:rPr>
      </w:pPr>
      <w:proofErr w:type="gramStart"/>
      <w:r>
        <w:rPr>
          <w:rFonts w:ascii="Cambria" w:hAnsi="Cambria"/>
          <w:color w:val="275317" w:themeColor="accent6" w:themeShade="80"/>
        </w:rPr>
        <w:t>Consulta administrativas</w:t>
      </w:r>
      <w:proofErr w:type="gramEnd"/>
      <w:r w:rsidR="00DD31A1">
        <w:rPr>
          <w:rFonts w:ascii="Cambria" w:hAnsi="Cambria"/>
          <w:color w:val="275317" w:themeColor="accent6" w:themeShade="80"/>
        </w:rPr>
        <w:t>.</w:t>
      </w:r>
    </w:p>
    <w:p w14:paraId="71BFADAF" w14:textId="77777777" w:rsidR="00891530" w:rsidRPr="00891530" w:rsidRDefault="00891530" w:rsidP="00E1521D">
      <w:pPr>
        <w:jc w:val="both"/>
        <w:rPr>
          <w:b/>
          <w:bCs/>
        </w:rPr>
      </w:pPr>
    </w:p>
    <w:p w14:paraId="617708E2" w14:textId="77777777" w:rsidR="00891530" w:rsidRPr="00891530" w:rsidRDefault="00891530" w:rsidP="00E1521D">
      <w:pPr>
        <w:jc w:val="both"/>
        <w:rPr>
          <w:b/>
          <w:bCs/>
        </w:rPr>
      </w:pPr>
      <w:r w:rsidRPr="00891530">
        <w:rPr>
          <w:b/>
          <w:bCs/>
        </w:rPr>
        <w:t>Consulta No. xx. Asimetría de información por acceso privilegiado a datos internos de las EDE — violación del principio de igualdad. Fundamento legal:</w:t>
      </w:r>
      <w:r w:rsidRPr="00891530">
        <w:rPr>
          <w:b/>
          <w:bCs/>
        </w:rPr>
        <w:br/>
        <w:t>GN-2349-15 §1.2(d) Igualdad: todos los oferentes deben recibir “la misma información e igual oportunidad de competir.” La Memoria Técnica exige “conocimiento del estado actual de las instalaciones” (criterio evaluable). Los datos reales de consumo, topología de redes y estado de infraestructura de las EDE no son de acceso público. Si algún oferente participó en estudios previos del proyecto, tiene ventaja informativa estructural que viola el principio de igualdad.</w:t>
      </w:r>
    </w:p>
    <w:p w14:paraId="2E9CBF1D" w14:textId="77777777" w:rsidR="00891530" w:rsidRPr="00891530" w:rsidRDefault="00891530" w:rsidP="00E1521D">
      <w:pPr>
        <w:jc w:val="both"/>
        <w:rPr>
          <w:b/>
          <w:bCs/>
        </w:rPr>
      </w:pPr>
      <w:r w:rsidRPr="00891530">
        <w:rPr>
          <w:b/>
          <w:bCs/>
        </w:rPr>
        <w:t>Petición concreta: Publicar en el pliego (o mediante Adenda) todos los datos técnicos relevantes de las instalaciones actuales de las EDE (inventario de luminarias, consumos reales, topología de redes MT/BT) para que TODOS los oferentes partan de la misma base informativa. Informar si alguna empresa que participó en el diseño del proceso o en estudios técnicos previos tiene intención de participar como oferente.</w:t>
      </w:r>
    </w:p>
    <w:p w14:paraId="4E5C7C6C" w14:textId="77777777" w:rsidR="00891530" w:rsidRPr="00891530" w:rsidRDefault="00891530" w:rsidP="00E1521D">
      <w:pPr>
        <w:jc w:val="both"/>
        <w:rPr>
          <w:b/>
          <w:bCs/>
        </w:rPr>
      </w:pPr>
    </w:p>
    <w:p w14:paraId="4D1E209D" w14:textId="77777777" w:rsidR="00891530" w:rsidRPr="00891530" w:rsidRDefault="00891530" w:rsidP="00E1521D">
      <w:pPr>
        <w:jc w:val="both"/>
        <w:rPr>
          <w:b/>
          <w:bCs/>
        </w:rPr>
      </w:pPr>
    </w:p>
    <w:p w14:paraId="17D5F7A9" w14:textId="77777777" w:rsidR="00891530" w:rsidRPr="00891530" w:rsidRDefault="00891530" w:rsidP="00E1521D">
      <w:pPr>
        <w:jc w:val="both"/>
        <w:rPr>
          <w:b/>
          <w:bCs/>
        </w:rPr>
      </w:pPr>
      <w:r w:rsidRPr="00891530">
        <w:rPr>
          <w:b/>
          <w:bCs/>
        </w:rPr>
        <w:t>Respuesta:</w:t>
      </w:r>
    </w:p>
    <w:p w14:paraId="068AD2F5" w14:textId="7119C047" w:rsidR="00891530" w:rsidRPr="00891530" w:rsidRDefault="002A1AB7" w:rsidP="00E1521D">
      <w:pPr>
        <w:jc w:val="both"/>
        <w:rPr>
          <w:b/>
          <w:bCs/>
        </w:rPr>
      </w:pPr>
      <w:proofErr w:type="gramStart"/>
      <w:r>
        <w:rPr>
          <w:rFonts w:ascii="Cambria" w:hAnsi="Cambria"/>
          <w:color w:val="275317" w:themeColor="accent6" w:themeShade="80"/>
        </w:rPr>
        <w:t>Consulta administrativas</w:t>
      </w:r>
      <w:proofErr w:type="gramEnd"/>
      <w:r w:rsidR="00DD31A1">
        <w:rPr>
          <w:b/>
          <w:bCs/>
        </w:rPr>
        <w:t>.</w:t>
      </w:r>
    </w:p>
    <w:p w14:paraId="16CBBC33" w14:textId="77777777" w:rsidR="00891530" w:rsidRPr="00891530" w:rsidRDefault="00891530" w:rsidP="00E1521D">
      <w:pPr>
        <w:jc w:val="both"/>
        <w:rPr>
          <w:b/>
          <w:bCs/>
        </w:rPr>
      </w:pPr>
    </w:p>
    <w:p w14:paraId="20FFB709" w14:textId="77777777" w:rsidR="00891530" w:rsidRPr="00DD31A1" w:rsidRDefault="00891530" w:rsidP="00E1521D">
      <w:pPr>
        <w:jc w:val="both"/>
        <w:rPr>
          <w:b/>
          <w:bCs/>
        </w:rPr>
      </w:pPr>
      <w:r w:rsidRPr="00DD31A1">
        <w:rPr>
          <w:b/>
          <w:bCs/>
        </w:rPr>
        <w:t>Consulta No. XX. Sin margen de preferencia doméstica. Las Políticas BID GN-2349-15, Apéndice 2, permiten al Prestatario solicitar al Banco la aplicación de un margen de preferencia del 15% para bienes fabricados localmente. Considerando que el objetivo del proyecto es el desarrollo de la eficiencia energética de la República Dominicana y que existen fabricantes y proveedores locales de componentes de instalación eléctrica, se solicita que el Contratante evalúe la aplicación de este margen, especialmente para postes, accesorios de instalación e infraestructura civil.</w:t>
      </w:r>
    </w:p>
    <w:p w14:paraId="0D1DAB31" w14:textId="77777777" w:rsidR="00891530" w:rsidRPr="00DD31A1" w:rsidRDefault="00891530" w:rsidP="00E1521D">
      <w:pPr>
        <w:jc w:val="both"/>
        <w:rPr>
          <w:b/>
          <w:bCs/>
        </w:rPr>
      </w:pPr>
    </w:p>
    <w:p w14:paraId="463D1EE3" w14:textId="77777777" w:rsidR="00891530" w:rsidRPr="00DD31A1" w:rsidRDefault="00891530" w:rsidP="00E1521D">
      <w:pPr>
        <w:jc w:val="both"/>
        <w:rPr>
          <w:b/>
          <w:bCs/>
        </w:rPr>
      </w:pPr>
      <w:r w:rsidRPr="00DD31A1">
        <w:rPr>
          <w:b/>
          <w:bCs/>
        </w:rPr>
        <w:t>Respuesta:</w:t>
      </w:r>
    </w:p>
    <w:p w14:paraId="7B3E9550" w14:textId="29DC76E7" w:rsidR="00787A89" w:rsidRPr="00787A89" w:rsidRDefault="00787A89" w:rsidP="00787A89">
      <w:pPr>
        <w:jc w:val="both"/>
        <w:rPr>
          <w:rFonts w:ascii="Cambria" w:hAnsi="Cambria"/>
          <w:color w:val="275317" w:themeColor="accent6" w:themeShade="80"/>
        </w:rPr>
      </w:pPr>
      <w:r w:rsidRPr="00787A89">
        <w:rPr>
          <w:rFonts w:ascii="Cambria" w:hAnsi="Cambria"/>
          <w:color w:val="275317" w:themeColor="accent6" w:themeShade="80"/>
        </w:rPr>
        <w:t xml:space="preserve">Se valorará la disposición </w:t>
      </w:r>
      <w:r w:rsidRPr="00DD31A1">
        <w:rPr>
          <w:rFonts w:ascii="Cambria" w:hAnsi="Cambria"/>
          <w:color w:val="275317" w:themeColor="accent6" w:themeShade="80"/>
        </w:rPr>
        <w:t xml:space="preserve">empresas nacionales de diseño y construcción de postes </w:t>
      </w:r>
      <w:r>
        <w:rPr>
          <w:rFonts w:ascii="Cambria" w:hAnsi="Cambria"/>
          <w:color w:val="275317" w:themeColor="accent6" w:themeShade="80"/>
        </w:rPr>
        <w:t xml:space="preserve">para el servicio eléctrico </w:t>
      </w:r>
      <w:r w:rsidRPr="00DD31A1">
        <w:rPr>
          <w:rFonts w:ascii="Cambria" w:hAnsi="Cambria"/>
          <w:color w:val="275317" w:themeColor="accent6" w:themeShade="80"/>
        </w:rPr>
        <w:t>y herrajes.</w:t>
      </w:r>
      <w:r>
        <w:rPr>
          <w:rFonts w:ascii="Cambria" w:hAnsi="Cambria"/>
          <w:color w:val="275317" w:themeColor="accent6" w:themeShade="80"/>
        </w:rPr>
        <w:t xml:space="preserve"> </w:t>
      </w:r>
      <w:r w:rsidRPr="00787A89">
        <w:rPr>
          <w:rFonts w:ascii="Cambria" w:hAnsi="Cambria"/>
          <w:color w:val="275317" w:themeColor="accent6" w:themeShade="80"/>
          <w:highlight w:val="yellow"/>
        </w:rPr>
        <w:t>Revisar por el coordinador general y la especialista en adquisiciones.</w:t>
      </w:r>
    </w:p>
    <w:p w14:paraId="2823C96B" w14:textId="77777777" w:rsidR="00787A89" w:rsidRDefault="00787A89" w:rsidP="00E1521D">
      <w:pPr>
        <w:jc w:val="both"/>
        <w:rPr>
          <w:b/>
          <w:bCs/>
        </w:rPr>
      </w:pPr>
    </w:p>
    <w:p w14:paraId="39268393" w14:textId="7BB349D1" w:rsidR="00891530" w:rsidRPr="00891530" w:rsidRDefault="00891530" w:rsidP="00E1521D">
      <w:pPr>
        <w:jc w:val="both"/>
        <w:rPr>
          <w:b/>
          <w:bCs/>
        </w:rPr>
      </w:pPr>
      <w:r w:rsidRPr="00DD31A1">
        <w:rPr>
          <w:b/>
          <w:bCs/>
        </w:rPr>
        <w:t>Consulta No. xx. Personal exclusivo en planilla al momento de firma. La prohibición de subcontratar personal</w:t>
      </w:r>
      <w:r w:rsidRPr="00891530">
        <w:rPr>
          <w:b/>
          <w:bCs/>
        </w:rPr>
        <w:t xml:space="preserve"> clave y el requisito de que dicho personal sea empleado de planilla al momento de la firma del contrato excluye modelos organizacionales válidos en el sector de la construcción dominicano, donde es práctica habitual la contratación de profesionales especializados por proyecto. Se solicita aceptar contratos de servicios profesionales debidamente sustentados como equivalente a la relación de dependencia laboral.</w:t>
      </w:r>
    </w:p>
    <w:p w14:paraId="159282F6" w14:textId="77777777" w:rsidR="00891530" w:rsidRPr="00891530" w:rsidRDefault="00891530" w:rsidP="00E1521D">
      <w:pPr>
        <w:jc w:val="both"/>
        <w:rPr>
          <w:b/>
          <w:bCs/>
        </w:rPr>
      </w:pPr>
    </w:p>
    <w:p w14:paraId="30B6C1B4" w14:textId="77777777" w:rsidR="00891530" w:rsidRPr="00891530" w:rsidRDefault="00891530" w:rsidP="00E1521D">
      <w:pPr>
        <w:jc w:val="both"/>
        <w:rPr>
          <w:b/>
          <w:bCs/>
        </w:rPr>
      </w:pPr>
      <w:r w:rsidRPr="00891530">
        <w:rPr>
          <w:b/>
          <w:bCs/>
        </w:rPr>
        <w:t>Respuesta:</w:t>
      </w:r>
    </w:p>
    <w:p w14:paraId="4F890DE5" w14:textId="331144AD" w:rsidR="00891530" w:rsidRDefault="002A1AB7" w:rsidP="00E1521D">
      <w:pPr>
        <w:jc w:val="both"/>
        <w:rPr>
          <w:b/>
          <w:bCs/>
        </w:rPr>
      </w:pPr>
      <w:r>
        <w:rPr>
          <w:rFonts w:ascii="Cambria" w:hAnsi="Cambria"/>
          <w:color w:val="275317" w:themeColor="accent6" w:themeShade="80"/>
        </w:rPr>
        <w:t>Consulta administrativa</w:t>
      </w:r>
      <w:r w:rsidR="00787A89">
        <w:rPr>
          <w:rFonts w:ascii="Cambria" w:hAnsi="Cambria"/>
          <w:color w:val="275317" w:themeColor="accent6" w:themeShade="80"/>
        </w:rPr>
        <w:t>.</w:t>
      </w:r>
    </w:p>
    <w:p w14:paraId="3884736B" w14:textId="77777777" w:rsidR="00787A89" w:rsidRPr="00891530" w:rsidRDefault="00787A89" w:rsidP="00E1521D">
      <w:pPr>
        <w:jc w:val="both"/>
        <w:rPr>
          <w:b/>
          <w:bCs/>
        </w:rPr>
      </w:pPr>
    </w:p>
    <w:p w14:paraId="57E6E647" w14:textId="77777777" w:rsidR="00891530" w:rsidRPr="00891530" w:rsidRDefault="00891530" w:rsidP="00E1521D">
      <w:pPr>
        <w:jc w:val="both"/>
        <w:rPr>
          <w:b/>
          <w:bCs/>
        </w:rPr>
      </w:pPr>
      <w:r w:rsidRPr="00891530">
        <w:rPr>
          <w:b/>
          <w:bCs/>
        </w:rPr>
        <w:t>Consulta No. XXX. Requisito de 100,000 luminarias suministradas por el fabricante. El criterio de evaluación que exige que el fabricante propuesto haya suministrado más de 100,000 luminarias en contratos recientes limita de facto el campo a 3–5 fabricantes globales. Esto puede equivaler a una especificación dirigida contraria al principio de igualdad de oportunidades del BID. Se solicita reducir este umbral a 30,000–50,000 unidades, proporcional al mayor lote individual.</w:t>
      </w:r>
    </w:p>
    <w:p w14:paraId="501D14B3" w14:textId="77777777" w:rsidR="00891530" w:rsidRPr="00891530" w:rsidRDefault="00891530" w:rsidP="00E1521D">
      <w:pPr>
        <w:jc w:val="both"/>
        <w:rPr>
          <w:b/>
          <w:bCs/>
        </w:rPr>
      </w:pPr>
    </w:p>
    <w:p w14:paraId="06AFE7E1" w14:textId="77777777" w:rsidR="00891530" w:rsidRPr="00891530" w:rsidRDefault="00891530" w:rsidP="00E1521D">
      <w:pPr>
        <w:jc w:val="both"/>
        <w:rPr>
          <w:b/>
          <w:bCs/>
        </w:rPr>
      </w:pPr>
      <w:r w:rsidRPr="00787A89">
        <w:rPr>
          <w:b/>
          <w:bCs/>
          <w:highlight w:val="green"/>
        </w:rPr>
        <w:t>Respuesta:</w:t>
      </w:r>
    </w:p>
    <w:p w14:paraId="255F55D7" w14:textId="0E95AEEB" w:rsidR="00891530" w:rsidRPr="002A1AB7" w:rsidRDefault="00EF71BC" w:rsidP="00E1521D">
      <w:pPr>
        <w:jc w:val="both"/>
        <w:rPr>
          <w:rFonts w:ascii="Cambria" w:hAnsi="Cambria"/>
          <w:color w:val="275317" w:themeColor="accent6" w:themeShade="80"/>
        </w:rPr>
      </w:pPr>
      <w:r>
        <w:rPr>
          <w:rFonts w:ascii="Cambria" w:hAnsi="Cambria"/>
          <w:color w:val="275317" w:themeColor="accent6" w:themeShade="80"/>
        </w:rPr>
        <w:t>Se exige el número de luminaria correspondiente a cada lote.</w:t>
      </w:r>
    </w:p>
    <w:p w14:paraId="556CEE4C" w14:textId="77777777" w:rsidR="00891530" w:rsidRPr="00891530" w:rsidRDefault="00891530" w:rsidP="00E1521D">
      <w:pPr>
        <w:jc w:val="both"/>
        <w:rPr>
          <w:b/>
          <w:bCs/>
        </w:rPr>
      </w:pPr>
    </w:p>
    <w:p w14:paraId="4EFEC79B" w14:textId="5A733D83" w:rsidR="00891530" w:rsidRDefault="00B776AD" w:rsidP="00E1521D">
      <w:pPr>
        <w:jc w:val="both"/>
        <w:rPr>
          <w:b/>
          <w:bCs/>
        </w:rPr>
      </w:pPr>
      <w:r>
        <w:rPr>
          <w:b/>
          <w:bCs/>
        </w:rPr>
        <w:t xml:space="preserve">Consulta </w:t>
      </w:r>
      <w:proofErr w:type="spellStart"/>
      <w:r>
        <w:rPr>
          <w:b/>
          <w:bCs/>
        </w:rPr>
        <w:t>nª</w:t>
      </w:r>
      <w:proofErr w:type="spellEnd"/>
      <w:r>
        <w:rPr>
          <w:b/>
          <w:bCs/>
        </w:rPr>
        <w:t xml:space="preserve"> XXX </w:t>
      </w:r>
      <w:r w:rsidRPr="00B776AD">
        <w:rPr>
          <w:b/>
          <w:bCs/>
        </w:rPr>
        <w:t>Teniendo en cuenta las exigentes condiciones ambientales del Caribe para los equipos electrónicos de exterior, ¿cómo se evaluarán en esta licitación las soluciones que han sido probadas y desplegadas con éxito en climas caribeños?</w:t>
      </w:r>
    </w:p>
    <w:p w14:paraId="1C9320F1" w14:textId="77777777" w:rsidR="00787A89" w:rsidRDefault="00787A89" w:rsidP="00787A89">
      <w:pPr>
        <w:jc w:val="both"/>
        <w:rPr>
          <w:b/>
          <w:bCs/>
          <w:highlight w:val="green"/>
        </w:rPr>
      </w:pPr>
    </w:p>
    <w:p w14:paraId="5A4FCEA6" w14:textId="26757085" w:rsidR="00B776AD" w:rsidRPr="00787A89" w:rsidRDefault="00787A89" w:rsidP="00E1521D">
      <w:pPr>
        <w:jc w:val="both"/>
        <w:rPr>
          <w:b/>
          <w:bCs/>
        </w:rPr>
      </w:pPr>
      <w:r w:rsidRPr="00787A89">
        <w:rPr>
          <w:b/>
          <w:bCs/>
        </w:rPr>
        <w:t>Respuesta:</w:t>
      </w:r>
    </w:p>
    <w:p w14:paraId="1B04405E" w14:textId="5EC48ED5" w:rsidR="00B776AD" w:rsidRPr="00B776AD" w:rsidRDefault="00B776AD" w:rsidP="00E1521D">
      <w:pPr>
        <w:jc w:val="both"/>
        <w:rPr>
          <w:rFonts w:ascii="Cambria" w:hAnsi="Cambria"/>
          <w:color w:val="275317" w:themeColor="accent6" w:themeShade="80"/>
        </w:rPr>
      </w:pPr>
      <w:r w:rsidRPr="00B776AD">
        <w:rPr>
          <w:rFonts w:ascii="Cambria" w:hAnsi="Cambria"/>
          <w:color w:val="275317" w:themeColor="accent6" w:themeShade="80"/>
        </w:rPr>
        <w:t>Ya se han considerado en las especificaciones técnicas.</w:t>
      </w:r>
    </w:p>
    <w:p w14:paraId="0F1868DB" w14:textId="53637BE4" w:rsidR="00B776AD" w:rsidRDefault="00B776AD" w:rsidP="00B776AD">
      <w:pPr>
        <w:jc w:val="both"/>
        <w:rPr>
          <w:b/>
          <w:bCs/>
        </w:rPr>
      </w:pPr>
    </w:p>
    <w:p w14:paraId="2A94B877" w14:textId="026A5624" w:rsidR="00787A89" w:rsidRDefault="00787A89" w:rsidP="00B776AD">
      <w:pPr>
        <w:jc w:val="both"/>
        <w:rPr>
          <w:b/>
          <w:bCs/>
        </w:rPr>
      </w:pPr>
    </w:p>
    <w:p w14:paraId="447762EB" w14:textId="77777777" w:rsidR="00787A89" w:rsidRPr="00B776AD" w:rsidRDefault="00787A89" w:rsidP="00B776AD">
      <w:pPr>
        <w:jc w:val="both"/>
        <w:rPr>
          <w:b/>
          <w:bCs/>
        </w:rPr>
      </w:pPr>
    </w:p>
    <w:p w14:paraId="7E18A3D2" w14:textId="77777777" w:rsidR="000214AE" w:rsidRPr="00787A89" w:rsidRDefault="00B776AD" w:rsidP="00B776AD">
      <w:pPr>
        <w:jc w:val="both"/>
        <w:rPr>
          <w:b/>
          <w:bCs/>
        </w:rPr>
      </w:pPr>
      <w:r w:rsidRPr="00787A89">
        <w:rPr>
          <w:b/>
          <w:bCs/>
        </w:rPr>
        <w:lastRenderedPageBreak/>
        <w:t xml:space="preserve">Consulta </w:t>
      </w:r>
      <w:proofErr w:type="spellStart"/>
      <w:r w:rsidRPr="00787A89">
        <w:rPr>
          <w:b/>
          <w:bCs/>
        </w:rPr>
        <w:t>nª</w:t>
      </w:r>
      <w:proofErr w:type="spellEnd"/>
      <w:r w:rsidRPr="00787A89">
        <w:rPr>
          <w:b/>
          <w:bCs/>
        </w:rPr>
        <w:t xml:space="preserve"> XXX Dado que los sistemas de iluminación LED modulares permiten reemplazar o actualizar componentes clave como la fuente de alimentación y motor de luz sin necesidad de herramientas, ¿cómo reconocerá MEM los beneficios operativos y financieros a largo plazo </w:t>
      </w:r>
      <w:proofErr w:type="gramStart"/>
      <w:r w:rsidRPr="00787A89">
        <w:rPr>
          <w:b/>
          <w:bCs/>
        </w:rPr>
        <w:t>de la modularidad</w:t>
      </w:r>
      <w:proofErr w:type="gramEnd"/>
      <w:r w:rsidRPr="00787A89">
        <w:rPr>
          <w:b/>
          <w:bCs/>
        </w:rPr>
        <w:t xml:space="preserve"> del producto?</w:t>
      </w:r>
    </w:p>
    <w:p w14:paraId="315E79EE" w14:textId="331AA1EC" w:rsidR="00B776AD" w:rsidRDefault="000214AE" w:rsidP="00B776AD">
      <w:pPr>
        <w:jc w:val="both"/>
        <w:rPr>
          <w:b/>
          <w:bCs/>
        </w:rPr>
      </w:pPr>
      <w:r w:rsidRPr="00787A89">
        <w:rPr>
          <w:b/>
          <w:bCs/>
        </w:rPr>
        <w:t>R</w:t>
      </w:r>
      <w:r w:rsidR="00B776AD" w:rsidRPr="00787A89">
        <w:rPr>
          <w:b/>
          <w:bCs/>
        </w:rPr>
        <w:t>evisar si hemos puest</w:t>
      </w:r>
      <w:r w:rsidRPr="00787A89">
        <w:rPr>
          <w:b/>
          <w:bCs/>
        </w:rPr>
        <w:t>o</w:t>
      </w:r>
      <w:r w:rsidR="00B776AD" w:rsidRPr="00787A89">
        <w:rPr>
          <w:b/>
          <w:bCs/>
        </w:rPr>
        <w:t xml:space="preserve"> en ficha técnica apertura sin herramientas.</w:t>
      </w:r>
    </w:p>
    <w:p w14:paraId="21CB504F" w14:textId="77777777" w:rsidR="00787A89" w:rsidRDefault="00787A89" w:rsidP="00787A89">
      <w:pPr>
        <w:jc w:val="both"/>
        <w:rPr>
          <w:b/>
          <w:bCs/>
          <w:highlight w:val="green"/>
        </w:rPr>
      </w:pPr>
    </w:p>
    <w:p w14:paraId="1FC2AF55" w14:textId="7F7C9544" w:rsidR="00787A89" w:rsidRDefault="00787A89" w:rsidP="00B776AD">
      <w:pPr>
        <w:jc w:val="both"/>
        <w:rPr>
          <w:b/>
          <w:bCs/>
        </w:rPr>
      </w:pPr>
      <w:r w:rsidRPr="00787A89">
        <w:rPr>
          <w:b/>
          <w:bCs/>
        </w:rPr>
        <w:t>Respuesta:</w:t>
      </w:r>
    </w:p>
    <w:p w14:paraId="1FF3E9F8" w14:textId="2E0B211B" w:rsidR="00EE5216" w:rsidRDefault="00EE5216" w:rsidP="00EE5216">
      <w:pPr>
        <w:jc w:val="both"/>
        <w:rPr>
          <w:rFonts w:ascii="Cambria" w:hAnsi="Cambria"/>
          <w:color w:val="275317" w:themeColor="accent6" w:themeShade="80"/>
        </w:rPr>
      </w:pPr>
      <w:r>
        <w:rPr>
          <w:rFonts w:ascii="Cambria" w:hAnsi="Cambria"/>
          <w:color w:val="275317" w:themeColor="accent6" w:themeShade="80"/>
        </w:rPr>
        <w:t>Sí, está incluido en las fichas técnicas de las luminarias</w:t>
      </w:r>
      <w:r w:rsidR="00787A89">
        <w:rPr>
          <w:rFonts w:ascii="Cambria" w:hAnsi="Cambria"/>
          <w:color w:val="275317" w:themeColor="accent6" w:themeShade="80"/>
        </w:rPr>
        <w:t>, conforme lo previsto en el ítem 1.11 para luminarias led y luminarias led con baterías.</w:t>
      </w:r>
    </w:p>
    <w:p w14:paraId="3E4C2C48" w14:textId="77777777" w:rsidR="00787A89" w:rsidRDefault="00787A89" w:rsidP="00EE5216">
      <w:pPr>
        <w:jc w:val="both"/>
        <w:rPr>
          <w:b/>
          <w:bCs/>
        </w:rPr>
      </w:pPr>
    </w:p>
    <w:p w14:paraId="10785C88" w14:textId="6CB21C54" w:rsidR="00B776AD" w:rsidRDefault="00B776AD" w:rsidP="00B776AD">
      <w:pPr>
        <w:jc w:val="both"/>
        <w:rPr>
          <w:b/>
          <w:bCs/>
        </w:rPr>
      </w:pPr>
      <w:r>
        <w:rPr>
          <w:b/>
          <w:bCs/>
        </w:rPr>
        <w:t xml:space="preserve">Consulta </w:t>
      </w:r>
      <w:proofErr w:type="spellStart"/>
      <w:r>
        <w:rPr>
          <w:b/>
          <w:bCs/>
        </w:rPr>
        <w:t>nª</w:t>
      </w:r>
      <w:proofErr w:type="spellEnd"/>
      <w:r>
        <w:rPr>
          <w:b/>
          <w:bCs/>
        </w:rPr>
        <w:t xml:space="preserve"> XXX </w:t>
      </w:r>
      <w:r w:rsidRPr="00B776AD">
        <w:rPr>
          <w:b/>
          <w:bCs/>
        </w:rPr>
        <w:t>En la sección 4.6 de las especificaciones técnicas de los LED, todas las potencias de las luminarias, desde 30 W hasta 240 W, indican un flujo luminoso de ≥11 700 lúmenes. ¿Podría especificar el flujo luminoso requerido para cada categoría de potencia?</w:t>
      </w:r>
    </w:p>
    <w:p w14:paraId="04B7FB8B" w14:textId="77777777" w:rsidR="00787A89" w:rsidRDefault="00787A89" w:rsidP="00787A89">
      <w:pPr>
        <w:jc w:val="both"/>
        <w:rPr>
          <w:b/>
          <w:bCs/>
          <w:highlight w:val="green"/>
        </w:rPr>
      </w:pPr>
    </w:p>
    <w:p w14:paraId="073B8D3C" w14:textId="77777777" w:rsidR="00787A89" w:rsidRPr="00044E87" w:rsidRDefault="00787A89" w:rsidP="00787A89">
      <w:pPr>
        <w:shd w:val="clear" w:color="auto" w:fill="FFFFFF" w:themeFill="background1"/>
        <w:jc w:val="both"/>
        <w:rPr>
          <w:b/>
          <w:bCs/>
        </w:rPr>
      </w:pPr>
      <w:r w:rsidRPr="00044E87">
        <w:rPr>
          <w:b/>
          <w:bCs/>
          <w:highlight w:val="green"/>
        </w:rPr>
        <w:t>Respuesta:</w:t>
      </w:r>
    </w:p>
    <w:p w14:paraId="12A5E09C" w14:textId="77777777" w:rsidR="00787A89" w:rsidRPr="00667340" w:rsidRDefault="00787A89" w:rsidP="00787A89">
      <w:pPr>
        <w:jc w:val="both"/>
        <w:rPr>
          <w:u w:val="single"/>
        </w:rPr>
      </w:pPr>
      <w:r>
        <w:rPr>
          <w:rFonts w:ascii="Cambria" w:hAnsi="Cambria"/>
          <w:color w:val="275317" w:themeColor="accent6" w:themeShade="80"/>
        </w:rPr>
        <w:t>Se elimina la exigencia relativa al flujo luminoso ≥ 11.700lm. Se exige exclusivamente el cumplimiento de la e</w:t>
      </w:r>
      <w:r w:rsidRPr="000F1A93">
        <w:rPr>
          <w:rFonts w:ascii="Cambria" w:hAnsi="Cambria"/>
          <w:color w:val="275317" w:themeColor="accent6" w:themeShade="80"/>
        </w:rPr>
        <w:t xml:space="preserve">ficiencia lm/w </w:t>
      </w:r>
      <w:r>
        <w:rPr>
          <w:rFonts w:ascii="Cambria" w:hAnsi="Cambria"/>
          <w:color w:val="275317" w:themeColor="accent6" w:themeShade="80"/>
        </w:rPr>
        <w:t>con un valor m</w:t>
      </w:r>
      <w:r w:rsidRPr="000F1A93">
        <w:rPr>
          <w:rFonts w:ascii="Cambria" w:hAnsi="Cambria"/>
          <w:color w:val="275317" w:themeColor="accent6" w:themeShade="80"/>
        </w:rPr>
        <w:t xml:space="preserve">ínimo </w:t>
      </w:r>
      <w:r>
        <w:rPr>
          <w:rFonts w:ascii="Cambria" w:hAnsi="Cambria"/>
          <w:color w:val="275317" w:themeColor="accent6" w:themeShade="80"/>
        </w:rPr>
        <w:t>ensayado ≥150 lm/W. Los valores propuestos en la tabla de la Consulta #3 son correctos, y serán considerados en la PDGT.</w:t>
      </w:r>
    </w:p>
    <w:p w14:paraId="010DDBD5" w14:textId="77777777" w:rsidR="00B776AD" w:rsidRPr="00B776AD" w:rsidRDefault="00B776AD" w:rsidP="00B776AD">
      <w:pPr>
        <w:jc w:val="both"/>
        <w:rPr>
          <w:rFonts w:ascii="Cambria" w:hAnsi="Cambria"/>
          <w:color w:val="275317" w:themeColor="accent6" w:themeShade="80"/>
        </w:rPr>
      </w:pPr>
    </w:p>
    <w:p w14:paraId="7482824E" w14:textId="19A052CF" w:rsidR="00B776AD" w:rsidRPr="00B776AD" w:rsidRDefault="00B776AD" w:rsidP="00B776AD">
      <w:pPr>
        <w:jc w:val="both"/>
        <w:rPr>
          <w:b/>
          <w:bCs/>
        </w:rPr>
      </w:pPr>
      <w:r>
        <w:rPr>
          <w:b/>
          <w:bCs/>
        </w:rPr>
        <w:t xml:space="preserve">Consulta </w:t>
      </w:r>
      <w:proofErr w:type="spellStart"/>
      <w:r>
        <w:rPr>
          <w:b/>
          <w:bCs/>
        </w:rPr>
        <w:t>nª</w:t>
      </w:r>
      <w:proofErr w:type="spellEnd"/>
      <w:r>
        <w:rPr>
          <w:b/>
          <w:bCs/>
        </w:rPr>
        <w:t xml:space="preserve"> XXX </w:t>
      </w:r>
      <w:r w:rsidRPr="00B776AD">
        <w:rPr>
          <w:b/>
          <w:bCs/>
        </w:rPr>
        <w:t>El documento de Términos y Condiciones (AP-LPI-MEM-IDB-01-2026) menciona Nodos y Puertas de Enlace, pero no se incluyeron especificaciones técnicas para estos elementos en el paquete de licitación. ¿Podrían confirmar si estos componentes forman parte del alcance actual o de una fase futura del proyecto?</w:t>
      </w:r>
    </w:p>
    <w:p w14:paraId="4DCDCD51" w14:textId="0448BCB9" w:rsidR="00B776AD" w:rsidRDefault="00B776AD" w:rsidP="00B776AD">
      <w:pPr>
        <w:jc w:val="both"/>
        <w:rPr>
          <w:b/>
          <w:bCs/>
        </w:rPr>
      </w:pPr>
      <w:r w:rsidRPr="00B776AD">
        <w:rPr>
          <w:b/>
          <w:bCs/>
        </w:rPr>
        <w:t>Con respecto a los nodos y pasarelas mencionados, ¿podría aclarar si la plataforma de comunicaciones requerida se basará en tecnología MESH o en conectividad celular?</w:t>
      </w:r>
    </w:p>
    <w:p w14:paraId="0C84F0E7" w14:textId="77777777" w:rsidR="00787A89" w:rsidRDefault="00787A89" w:rsidP="00B776AD">
      <w:pPr>
        <w:jc w:val="both"/>
        <w:rPr>
          <w:b/>
          <w:bCs/>
        </w:rPr>
      </w:pPr>
    </w:p>
    <w:p w14:paraId="757CA50C" w14:textId="12095EC2" w:rsidR="00593FDB" w:rsidRDefault="00787A89" w:rsidP="00B776AD">
      <w:pPr>
        <w:jc w:val="both"/>
        <w:rPr>
          <w:b/>
          <w:bCs/>
        </w:rPr>
      </w:pPr>
      <w:r w:rsidRPr="00787A89">
        <w:rPr>
          <w:b/>
          <w:bCs/>
        </w:rPr>
        <w:t>Respuesta:</w:t>
      </w:r>
    </w:p>
    <w:p w14:paraId="029B61ED" w14:textId="536C2BDD" w:rsidR="00593FDB" w:rsidRPr="00593FDB" w:rsidRDefault="00593FDB" w:rsidP="00B776AD">
      <w:pPr>
        <w:jc w:val="both"/>
        <w:rPr>
          <w:rFonts w:ascii="Cambria" w:hAnsi="Cambria"/>
          <w:color w:val="275317" w:themeColor="accent6" w:themeShade="80"/>
        </w:rPr>
      </w:pPr>
      <w:r w:rsidRPr="00593FDB">
        <w:rPr>
          <w:rFonts w:ascii="Cambria" w:hAnsi="Cambria"/>
          <w:color w:val="275317" w:themeColor="accent6" w:themeShade="80"/>
        </w:rPr>
        <w:t xml:space="preserve">Se trata de otra licitación no objeto en esta </w:t>
      </w:r>
    </w:p>
    <w:p w14:paraId="77DBB192" w14:textId="77777777" w:rsidR="00593FDB" w:rsidRPr="00B776AD" w:rsidRDefault="00593FDB" w:rsidP="00B776AD">
      <w:pPr>
        <w:jc w:val="both"/>
        <w:rPr>
          <w:b/>
          <w:bCs/>
        </w:rPr>
      </w:pPr>
    </w:p>
    <w:p w14:paraId="6B4A7450" w14:textId="69796C0B" w:rsidR="00B776AD" w:rsidRDefault="00593FDB" w:rsidP="00B776AD">
      <w:pPr>
        <w:jc w:val="both"/>
        <w:rPr>
          <w:b/>
          <w:bCs/>
        </w:rPr>
      </w:pPr>
      <w:r>
        <w:rPr>
          <w:b/>
          <w:bCs/>
        </w:rPr>
        <w:t xml:space="preserve">Consulta </w:t>
      </w:r>
      <w:proofErr w:type="spellStart"/>
      <w:r>
        <w:rPr>
          <w:b/>
          <w:bCs/>
        </w:rPr>
        <w:t>nª</w:t>
      </w:r>
      <w:proofErr w:type="spellEnd"/>
      <w:r>
        <w:rPr>
          <w:b/>
          <w:bCs/>
        </w:rPr>
        <w:t xml:space="preserve"> XXX </w:t>
      </w:r>
      <w:r w:rsidR="00B776AD" w:rsidRPr="00B776AD">
        <w:rPr>
          <w:b/>
          <w:bCs/>
        </w:rPr>
        <w:t xml:space="preserve">Los requisitos de distribución de iluminación indican “al menos 5 ópticas”. ¿Podría confirmar las distribuciones ópticas específicas requeridas (como Tipo II, </w:t>
      </w:r>
      <w:proofErr w:type="gramStart"/>
      <w:r w:rsidR="00B776AD" w:rsidRPr="00B776AD">
        <w:rPr>
          <w:b/>
          <w:bCs/>
        </w:rPr>
        <w:t>Tipo III, etc.) e indicar qué potencias corresponden a cada tipo de óptica?</w:t>
      </w:r>
      <w:proofErr w:type="gramEnd"/>
    </w:p>
    <w:p w14:paraId="5E1956F7" w14:textId="77777777" w:rsidR="00787A89" w:rsidRDefault="00787A89" w:rsidP="00787A89">
      <w:pPr>
        <w:jc w:val="both"/>
        <w:rPr>
          <w:b/>
          <w:bCs/>
        </w:rPr>
      </w:pPr>
    </w:p>
    <w:p w14:paraId="7232C832" w14:textId="4F04A00B" w:rsidR="00593FDB" w:rsidRDefault="00787A89" w:rsidP="00B776AD">
      <w:pPr>
        <w:jc w:val="both"/>
        <w:rPr>
          <w:b/>
          <w:bCs/>
        </w:rPr>
      </w:pPr>
      <w:r w:rsidRPr="00787A89">
        <w:rPr>
          <w:b/>
          <w:bCs/>
        </w:rPr>
        <w:t>Respuesta:</w:t>
      </w:r>
    </w:p>
    <w:p w14:paraId="6F03FC2E" w14:textId="132280D7" w:rsidR="00593FDB" w:rsidRPr="00593FDB" w:rsidRDefault="00593FDB" w:rsidP="00B776AD">
      <w:pPr>
        <w:jc w:val="both"/>
        <w:rPr>
          <w:rFonts w:ascii="Cambria" w:hAnsi="Cambria"/>
          <w:color w:val="275317" w:themeColor="accent6" w:themeShade="80"/>
        </w:rPr>
      </w:pPr>
      <w:r w:rsidRPr="00593FDB">
        <w:rPr>
          <w:rFonts w:ascii="Cambria" w:hAnsi="Cambria"/>
          <w:color w:val="275317" w:themeColor="accent6" w:themeShade="80"/>
        </w:rPr>
        <w:t xml:space="preserve">Se solicitan el número de ópticas indicado </w:t>
      </w:r>
      <w:r w:rsidR="00212FE8">
        <w:rPr>
          <w:rFonts w:ascii="Cambria" w:hAnsi="Cambria"/>
          <w:color w:val="275317" w:themeColor="accent6" w:themeShade="80"/>
        </w:rPr>
        <w:t xml:space="preserve">en el pliego </w:t>
      </w:r>
      <w:r w:rsidRPr="00593FDB">
        <w:rPr>
          <w:rFonts w:ascii="Cambria" w:hAnsi="Cambria"/>
          <w:color w:val="275317" w:themeColor="accent6" w:themeShade="80"/>
        </w:rPr>
        <w:t>para todas las potencias a ofertar</w:t>
      </w:r>
      <w:r w:rsidR="00212FE8">
        <w:rPr>
          <w:rFonts w:ascii="Cambria" w:hAnsi="Cambria"/>
          <w:color w:val="275317" w:themeColor="accent6" w:themeShade="80"/>
        </w:rPr>
        <w:t>.</w:t>
      </w:r>
      <w:r w:rsidR="009C4F37">
        <w:rPr>
          <w:rFonts w:ascii="Cambria" w:hAnsi="Cambria"/>
          <w:color w:val="275317" w:themeColor="accent6" w:themeShade="80"/>
        </w:rPr>
        <w:t xml:space="preserve"> No se solicita una distribución óptica especifica.</w:t>
      </w:r>
    </w:p>
    <w:p w14:paraId="5A6345EE" w14:textId="112EBC6E" w:rsidR="00593FDB" w:rsidRDefault="00593FDB" w:rsidP="00B776AD">
      <w:pPr>
        <w:jc w:val="both"/>
        <w:rPr>
          <w:b/>
          <w:bCs/>
        </w:rPr>
      </w:pPr>
    </w:p>
    <w:p w14:paraId="48FF833B" w14:textId="0D5A3BEA" w:rsidR="00700D48" w:rsidRDefault="00700D48" w:rsidP="00B776AD">
      <w:pPr>
        <w:jc w:val="both"/>
        <w:rPr>
          <w:b/>
          <w:bCs/>
        </w:rPr>
      </w:pPr>
    </w:p>
    <w:p w14:paraId="59B92C70" w14:textId="2FEAB9E0" w:rsidR="00700D48" w:rsidRDefault="00700D48" w:rsidP="00B776AD">
      <w:pPr>
        <w:jc w:val="both"/>
        <w:rPr>
          <w:b/>
          <w:bCs/>
        </w:rPr>
      </w:pPr>
    </w:p>
    <w:p w14:paraId="5AE9A382" w14:textId="5032A9F6" w:rsidR="00700D48" w:rsidRDefault="00700D48" w:rsidP="00B776AD">
      <w:pPr>
        <w:jc w:val="both"/>
        <w:rPr>
          <w:b/>
          <w:bCs/>
        </w:rPr>
      </w:pPr>
    </w:p>
    <w:p w14:paraId="42AF263F" w14:textId="77777777" w:rsidR="00700D48" w:rsidRPr="00B776AD" w:rsidRDefault="00700D48" w:rsidP="00B776AD">
      <w:pPr>
        <w:jc w:val="both"/>
        <w:rPr>
          <w:b/>
          <w:bCs/>
        </w:rPr>
      </w:pPr>
    </w:p>
    <w:p w14:paraId="225D23BD" w14:textId="04CB1B4F" w:rsidR="00B776AD" w:rsidRPr="00700D48" w:rsidRDefault="009C4F37" w:rsidP="00B776AD">
      <w:pPr>
        <w:jc w:val="both"/>
        <w:rPr>
          <w:b/>
          <w:bCs/>
        </w:rPr>
      </w:pPr>
      <w:r w:rsidRPr="00700D48">
        <w:rPr>
          <w:b/>
          <w:bCs/>
        </w:rPr>
        <w:t xml:space="preserve">Consulta </w:t>
      </w:r>
      <w:proofErr w:type="spellStart"/>
      <w:r w:rsidRPr="00700D48">
        <w:rPr>
          <w:b/>
          <w:bCs/>
        </w:rPr>
        <w:t>nª</w:t>
      </w:r>
      <w:proofErr w:type="spellEnd"/>
      <w:r w:rsidRPr="00700D48">
        <w:rPr>
          <w:b/>
          <w:bCs/>
        </w:rPr>
        <w:t xml:space="preserve"> XXX </w:t>
      </w:r>
      <w:r w:rsidR="00B776AD" w:rsidRPr="00700D48">
        <w:rPr>
          <w:b/>
          <w:bCs/>
        </w:rPr>
        <w:t>En el listado de cantidades de cada lote, se incluye el artículo denominado “Luminaria LED con batería de 100 W, 240 V”. ¿Podría aclarar si este artículo se refiere a un sistema de iluminación solar debido al requisito de la batería?</w:t>
      </w:r>
    </w:p>
    <w:p w14:paraId="180582AB" w14:textId="77777777" w:rsidR="00700D48" w:rsidRDefault="00700D48" w:rsidP="00700D48">
      <w:pPr>
        <w:jc w:val="both"/>
        <w:rPr>
          <w:b/>
          <w:bCs/>
        </w:rPr>
      </w:pPr>
    </w:p>
    <w:p w14:paraId="16F4646A" w14:textId="3DB65C73" w:rsidR="00700D48" w:rsidRDefault="00700D48" w:rsidP="00700D48">
      <w:pPr>
        <w:jc w:val="both"/>
        <w:rPr>
          <w:b/>
          <w:bCs/>
        </w:rPr>
      </w:pPr>
      <w:r w:rsidRPr="00787A89">
        <w:rPr>
          <w:b/>
          <w:bCs/>
        </w:rPr>
        <w:t>Respuesta:</w:t>
      </w:r>
    </w:p>
    <w:p w14:paraId="6D2B6FB3" w14:textId="3526DA9B" w:rsidR="00536C43" w:rsidRPr="00EE5216" w:rsidRDefault="00EE5216" w:rsidP="00B776AD">
      <w:pPr>
        <w:jc w:val="both"/>
        <w:rPr>
          <w:rFonts w:ascii="Cambria" w:hAnsi="Cambria"/>
          <w:color w:val="275317" w:themeColor="accent6" w:themeShade="80"/>
        </w:rPr>
      </w:pPr>
      <w:r w:rsidRPr="00EE5216">
        <w:rPr>
          <w:rFonts w:ascii="Cambria" w:hAnsi="Cambria"/>
          <w:color w:val="275317" w:themeColor="accent6" w:themeShade="80"/>
        </w:rPr>
        <w:t>Hemos revisado la documentación del Pliego y Anexos y no se encuentra este artículo.</w:t>
      </w:r>
    </w:p>
    <w:p w14:paraId="35E12A1D" w14:textId="77777777" w:rsidR="00700D48" w:rsidRDefault="00700D48" w:rsidP="00B776AD">
      <w:pPr>
        <w:jc w:val="both"/>
        <w:rPr>
          <w:b/>
          <w:bCs/>
        </w:rPr>
      </w:pPr>
    </w:p>
    <w:p w14:paraId="6A30DB1B" w14:textId="398F7752" w:rsidR="00B776AD" w:rsidRDefault="009C4F37" w:rsidP="00B776AD">
      <w:pPr>
        <w:jc w:val="both"/>
        <w:rPr>
          <w:b/>
          <w:bCs/>
        </w:rPr>
      </w:pPr>
      <w:r>
        <w:rPr>
          <w:b/>
          <w:bCs/>
        </w:rPr>
        <w:t xml:space="preserve">Consulta </w:t>
      </w:r>
      <w:proofErr w:type="spellStart"/>
      <w:r>
        <w:rPr>
          <w:b/>
          <w:bCs/>
        </w:rPr>
        <w:t>nª</w:t>
      </w:r>
      <w:proofErr w:type="spellEnd"/>
      <w:r>
        <w:rPr>
          <w:b/>
          <w:bCs/>
        </w:rPr>
        <w:t xml:space="preserve"> </w:t>
      </w:r>
      <w:proofErr w:type="spellStart"/>
      <w:proofErr w:type="gramStart"/>
      <w:r>
        <w:rPr>
          <w:b/>
          <w:bCs/>
        </w:rPr>
        <w:t>XXX</w:t>
      </w:r>
      <w:r w:rsidR="00B776AD" w:rsidRPr="00B776AD">
        <w:rPr>
          <w:b/>
          <w:bCs/>
        </w:rPr>
        <w:t>¿</w:t>
      </w:r>
      <w:proofErr w:type="gramEnd"/>
      <w:r w:rsidR="00B776AD" w:rsidRPr="00B776AD">
        <w:rPr>
          <w:b/>
          <w:bCs/>
        </w:rPr>
        <w:t>Podría</w:t>
      </w:r>
      <w:proofErr w:type="spellEnd"/>
      <w:r w:rsidR="00B776AD" w:rsidRPr="00B776AD">
        <w:rPr>
          <w:b/>
          <w:bCs/>
        </w:rPr>
        <w:t xml:space="preserve"> confirmar la especificación de color RAL requerida para las luminarias LED de alumbrado público?</w:t>
      </w:r>
    </w:p>
    <w:p w14:paraId="77E592D6" w14:textId="77777777" w:rsidR="00700D48" w:rsidRDefault="00700D48" w:rsidP="00700D48">
      <w:pPr>
        <w:jc w:val="both"/>
        <w:rPr>
          <w:b/>
          <w:bCs/>
        </w:rPr>
      </w:pPr>
    </w:p>
    <w:p w14:paraId="4FE167B2" w14:textId="1A195D39" w:rsidR="009C4F37" w:rsidRDefault="00700D48" w:rsidP="00B776AD">
      <w:pPr>
        <w:jc w:val="both"/>
        <w:rPr>
          <w:b/>
          <w:bCs/>
        </w:rPr>
      </w:pPr>
      <w:r w:rsidRPr="00787A89">
        <w:rPr>
          <w:b/>
          <w:bCs/>
        </w:rPr>
        <w:t>Respuesta:</w:t>
      </w:r>
    </w:p>
    <w:p w14:paraId="4F0BC30E" w14:textId="58C0A25C" w:rsidR="009C4F37" w:rsidRPr="009C4F37" w:rsidRDefault="009C4F37" w:rsidP="00B776AD">
      <w:pPr>
        <w:jc w:val="both"/>
        <w:rPr>
          <w:rFonts w:ascii="Cambria" w:hAnsi="Cambria"/>
          <w:color w:val="275317" w:themeColor="accent6" w:themeShade="80"/>
        </w:rPr>
      </w:pPr>
      <w:r w:rsidRPr="009C4F37">
        <w:rPr>
          <w:rFonts w:ascii="Cambria" w:hAnsi="Cambria"/>
          <w:color w:val="275317" w:themeColor="accent6" w:themeShade="80"/>
        </w:rPr>
        <w:t>En este momento no se puede definir, se solicitará el RAL correspondiente en cada zona.</w:t>
      </w:r>
    </w:p>
    <w:p w14:paraId="241DE29B" w14:textId="77777777" w:rsidR="009C4F37" w:rsidRPr="00B776AD" w:rsidRDefault="009C4F37" w:rsidP="00B776AD">
      <w:pPr>
        <w:jc w:val="both"/>
        <w:rPr>
          <w:b/>
          <w:bCs/>
        </w:rPr>
      </w:pPr>
    </w:p>
    <w:p w14:paraId="6F5285A7" w14:textId="00D877BE" w:rsidR="00B776AD" w:rsidRDefault="005C7962" w:rsidP="00B776AD">
      <w:pPr>
        <w:jc w:val="both"/>
        <w:rPr>
          <w:b/>
          <w:bCs/>
        </w:rPr>
      </w:pPr>
      <w:r>
        <w:rPr>
          <w:b/>
          <w:bCs/>
        </w:rPr>
        <w:t xml:space="preserve">Consulta </w:t>
      </w:r>
      <w:proofErr w:type="spellStart"/>
      <w:r>
        <w:rPr>
          <w:b/>
          <w:bCs/>
        </w:rPr>
        <w:t>nª</w:t>
      </w:r>
      <w:proofErr w:type="spellEnd"/>
      <w:r>
        <w:rPr>
          <w:b/>
          <w:bCs/>
        </w:rPr>
        <w:t xml:space="preserve"> XXX</w:t>
      </w:r>
      <w:r w:rsidRPr="00B776AD">
        <w:rPr>
          <w:b/>
          <w:bCs/>
        </w:rPr>
        <w:t xml:space="preserve"> </w:t>
      </w:r>
      <w:r w:rsidR="00B776AD" w:rsidRPr="00B776AD">
        <w:rPr>
          <w:b/>
          <w:bCs/>
        </w:rPr>
        <w:t>Las hojas de especificaciones de las luminarias hacen referencia a la certificación UL, mientras que el documento de Términos y Condiciones (AP-LPI-MEM-IDB-01-2026) exige una Declaración de Conformidad con marcado CE o equivalente para luminarias, controladores, nodos, pasarelas y componentes relacionados. ¿Podría aclarar si la certificación UL, la certificación CE o ambas son obligatorias?</w:t>
      </w:r>
    </w:p>
    <w:p w14:paraId="4E346FCA" w14:textId="77777777" w:rsidR="00700D48" w:rsidRDefault="00700D48" w:rsidP="00700D48">
      <w:pPr>
        <w:jc w:val="both"/>
        <w:rPr>
          <w:b/>
          <w:bCs/>
        </w:rPr>
      </w:pPr>
    </w:p>
    <w:p w14:paraId="422CC21F" w14:textId="4CB175E5" w:rsidR="0029761F" w:rsidRPr="00700D48" w:rsidRDefault="00700D48" w:rsidP="0029761F">
      <w:pPr>
        <w:jc w:val="both"/>
        <w:rPr>
          <w:b/>
          <w:bCs/>
        </w:rPr>
      </w:pPr>
      <w:r w:rsidRPr="00787A89">
        <w:rPr>
          <w:b/>
          <w:bCs/>
        </w:rPr>
        <w:t>Respuesta:</w:t>
      </w:r>
    </w:p>
    <w:p w14:paraId="074C62C4" w14:textId="697758A6" w:rsidR="0029761F" w:rsidRPr="00700D48" w:rsidRDefault="0029761F" w:rsidP="00B776AD">
      <w:pPr>
        <w:jc w:val="both"/>
        <w:rPr>
          <w:rFonts w:ascii="Cambria" w:hAnsi="Cambria"/>
          <w:color w:val="275317" w:themeColor="accent6" w:themeShade="80"/>
        </w:rPr>
      </w:pPr>
      <w:r>
        <w:rPr>
          <w:rFonts w:ascii="Cambria" w:hAnsi="Cambria"/>
          <w:color w:val="275317" w:themeColor="accent6" w:themeShade="80"/>
        </w:rPr>
        <w:t>Se</w:t>
      </w:r>
      <w:r w:rsidR="005C7962">
        <w:rPr>
          <w:rFonts w:ascii="Cambria" w:hAnsi="Cambria"/>
          <w:color w:val="275317" w:themeColor="accent6" w:themeShade="80"/>
        </w:rPr>
        <w:t xml:space="preserve"> solicita certificado</w:t>
      </w:r>
      <w:r>
        <w:rPr>
          <w:rFonts w:ascii="Cambria" w:hAnsi="Cambria"/>
          <w:color w:val="275317" w:themeColor="accent6" w:themeShade="80"/>
        </w:rPr>
        <w:t xml:space="preserve"> UL o</w:t>
      </w:r>
      <w:r w:rsidR="005C7962">
        <w:rPr>
          <w:rFonts w:ascii="Cambria" w:hAnsi="Cambria"/>
          <w:color w:val="275317" w:themeColor="accent6" w:themeShade="80"/>
        </w:rPr>
        <w:t xml:space="preserve"> equivalente vigente y verificable, entendemos </w:t>
      </w:r>
      <w:r>
        <w:rPr>
          <w:rFonts w:ascii="Cambria" w:hAnsi="Cambria"/>
          <w:color w:val="275317" w:themeColor="accent6" w:themeShade="80"/>
        </w:rPr>
        <w:t xml:space="preserve">CE </w:t>
      </w:r>
      <w:r w:rsidR="005C7962">
        <w:rPr>
          <w:rFonts w:ascii="Cambria" w:hAnsi="Cambria"/>
          <w:color w:val="275317" w:themeColor="accent6" w:themeShade="80"/>
        </w:rPr>
        <w:t>como válido equivalente.</w:t>
      </w:r>
    </w:p>
    <w:p w14:paraId="77CB75A8" w14:textId="77777777" w:rsidR="0029761F" w:rsidRPr="00B776AD" w:rsidRDefault="0029761F" w:rsidP="00B776AD">
      <w:pPr>
        <w:jc w:val="both"/>
        <w:rPr>
          <w:b/>
          <w:bCs/>
        </w:rPr>
      </w:pPr>
    </w:p>
    <w:p w14:paraId="4BDE589F" w14:textId="6D381054" w:rsidR="00B776AD" w:rsidRDefault="00BF356C" w:rsidP="00B776AD">
      <w:pPr>
        <w:jc w:val="both"/>
        <w:rPr>
          <w:b/>
          <w:bCs/>
        </w:rPr>
      </w:pPr>
      <w:r>
        <w:rPr>
          <w:b/>
          <w:bCs/>
        </w:rPr>
        <w:t xml:space="preserve">Consulta </w:t>
      </w:r>
      <w:proofErr w:type="spellStart"/>
      <w:r>
        <w:rPr>
          <w:b/>
          <w:bCs/>
        </w:rPr>
        <w:t>nª</w:t>
      </w:r>
      <w:proofErr w:type="spellEnd"/>
      <w:r>
        <w:rPr>
          <w:b/>
          <w:bCs/>
        </w:rPr>
        <w:t xml:space="preserve"> XXX</w:t>
      </w:r>
      <w:r w:rsidRPr="00B776AD">
        <w:rPr>
          <w:b/>
          <w:bCs/>
        </w:rPr>
        <w:t xml:space="preserve"> </w:t>
      </w:r>
      <w:r w:rsidR="00B776AD" w:rsidRPr="00B776AD">
        <w:rPr>
          <w:b/>
          <w:bCs/>
        </w:rPr>
        <w:t>Dado el entorno costero, ¿existen normas específicas de resistencia a la niebla salina o a la corrosión que deban cumplir las luminarias y los equipos relacionados?</w:t>
      </w:r>
    </w:p>
    <w:p w14:paraId="2F3D85BC" w14:textId="77777777" w:rsidR="00700D48" w:rsidRDefault="00700D48" w:rsidP="00700D48">
      <w:pPr>
        <w:jc w:val="both"/>
        <w:rPr>
          <w:b/>
          <w:bCs/>
        </w:rPr>
      </w:pPr>
    </w:p>
    <w:p w14:paraId="1AD75F3A" w14:textId="664058B5" w:rsidR="00BF356C" w:rsidRDefault="00700D48" w:rsidP="00B776AD">
      <w:pPr>
        <w:jc w:val="both"/>
        <w:rPr>
          <w:b/>
          <w:bCs/>
        </w:rPr>
      </w:pPr>
      <w:r w:rsidRPr="00787A89">
        <w:rPr>
          <w:b/>
          <w:bCs/>
        </w:rPr>
        <w:t>Respuesta:</w:t>
      </w:r>
    </w:p>
    <w:p w14:paraId="17938E26" w14:textId="37B7789C" w:rsidR="00BF356C" w:rsidRDefault="00BF356C" w:rsidP="00B776AD">
      <w:pPr>
        <w:jc w:val="both"/>
        <w:rPr>
          <w:rFonts w:ascii="Cambria" w:hAnsi="Cambria"/>
          <w:color w:val="275317" w:themeColor="accent6" w:themeShade="80"/>
        </w:rPr>
      </w:pPr>
      <w:r w:rsidRPr="00BF356C">
        <w:rPr>
          <w:rFonts w:ascii="Cambria" w:hAnsi="Cambria"/>
          <w:color w:val="275317" w:themeColor="accent6" w:themeShade="80"/>
        </w:rPr>
        <w:t>Si, se solicitan certificados de protección específicos en los pliegos</w:t>
      </w:r>
      <w:r>
        <w:rPr>
          <w:rFonts w:ascii="Cambria" w:hAnsi="Cambria"/>
          <w:color w:val="275317" w:themeColor="accent6" w:themeShade="80"/>
        </w:rPr>
        <w:t>.</w:t>
      </w:r>
    </w:p>
    <w:p w14:paraId="149AD30A" w14:textId="77777777" w:rsidR="00A91380" w:rsidRPr="00BF356C" w:rsidRDefault="00A91380" w:rsidP="00B776AD">
      <w:pPr>
        <w:jc w:val="both"/>
        <w:rPr>
          <w:rFonts w:ascii="Cambria" w:hAnsi="Cambria"/>
          <w:color w:val="275317" w:themeColor="accent6" w:themeShade="80"/>
        </w:rPr>
      </w:pPr>
    </w:p>
    <w:p w14:paraId="2BFA9677" w14:textId="35295C8A" w:rsidR="00B776AD" w:rsidRDefault="001F5C10" w:rsidP="00B776AD">
      <w:pPr>
        <w:jc w:val="both"/>
        <w:rPr>
          <w:b/>
          <w:bCs/>
        </w:rPr>
      </w:pPr>
      <w:r>
        <w:rPr>
          <w:b/>
          <w:bCs/>
        </w:rPr>
        <w:t xml:space="preserve">Consulta </w:t>
      </w:r>
      <w:proofErr w:type="spellStart"/>
      <w:r>
        <w:rPr>
          <w:b/>
          <w:bCs/>
        </w:rPr>
        <w:t>nª</w:t>
      </w:r>
      <w:proofErr w:type="spellEnd"/>
      <w:r>
        <w:rPr>
          <w:b/>
          <w:bCs/>
        </w:rPr>
        <w:t xml:space="preserve"> </w:t>
      </w:r>
      <w:proofErr w:type="spellStart"/>
      <w:proofErr w:type="gramStart"/>
      <w:r>
        <w:rPr>
          <w:b/>
          <w:bCs/>
        </w:rPr>
        <w:t>XXX</w:t>
      </w:r>
      <w:r w:rsidR="00B776AD" w:rsidRPr="00B776AD">
        <w:rPr>
          <w:b/>
          <w:bCs/>
        </w:rPr>
        <w:t>¿</w:t>
      </w:r>
      <w:proofErr w:type="gramEnd"/>
      <w:r w:rsidR="00B776AD" w:rsidRPr="00B776AD">
        <w:rPr>
          <w:b/>
          <w:bCs/>
        </w:rPr>
        <w:t>Podría</w:t>
      </w:r>
      <w:proofErr w:type="spellEnd"/>
      <w:r w:rsidR="00B776AD" w:rsidRPr="00B776AD">
        <w:rPr>
          <w:b/>
          <w:bCs/>
        </w:rPr>
        <w:t xml:space="preserve"> detallar los requisitos mínimos de garantía para el proyecto, incluyendo si se aplican períodos de garantía separados para las luminarias y los sistemas de control?</w:t>
      </w:r>
    </w:p>
    <w:p w14:paraId="5417D171" w14:textId="77777777" w:rsidR="00700D48" w:rsidRDefault="00700D48" w:rsidP="00700D48">
      <w:pPr>
        <w:jc w:val="both"/>
        <w:rPr>
          <w:b/>
          <w:bCs/>
        </w:rPr>
      </w:pPr>
    </w:p>
    <w:p w14:paraId="737871F6" w14:textId="30CABDE9" w:rsidR="00A91380" w:rsidRDefault="00700D48" w:rsidP="00B776AD">
      <w:pPr>
        <w:jc w:val="both"/>
        <w:rPr>
          <w:b/>
          <w:bCs/>
        </w:rPr>
      </w:pPr>
      <w:r w:rsidRPr="00787A89">
        <w:rPr>
          <w:b/>
          <w:bCs/>
        </w:rPr>
        <w:t>Respuesta:</w:t>
      </w:r>
    </w:p>
    <w:p w14:paraId="45B2C44E" w14:textId="28706EAE" w:rsidR="00A91380" w:rsidRPr="00A91380" w:rsidRDefault="00A91380" w:rsidP="00B776AD">
      <w:pPr>
        <w:jc w:val="both"/>
        <w:rPr>
          <w:rFonts w:ascii="Cambria" w:hAnsi="Cambria"/>
          <w:color w:val="275317" w:themeColor="accent6" w:themeShade="80"/>
        </w:rPr>
      </w:pPr>
      <w:r w:rsidRPr="00A91380">
        <w:rPr>
          <w:rFonts w:ascii="Cambria" w:hAnsi="Cambria"/>
          <w:color w:val="275317" w:themeColor="accent6" w:themeShade="80"/>
        </w:rPr>
        <w:t>No e incluyen sistemas de control en esta licitación, la garantías de os elementos objeto de esta licitación están definidos en los pliegos.</w:t>
      </w:r>
    </w:p>
    <w:p w14:paraId="2AC42B3C" w14:textId="77777777" w:rsidR="00A91380" w:rsidRPr="00B776AD" w:rsidRDefault="00A91380" w:rsidP="00B776AD">
      <w:pPr>
        <w:jc w:val="both"/>
        <w:rPr>
          <w:b/>
          <w:bCs/>
        </w:rPr>
      </w:pPr>
    </w:p>
    <w:p w14:paraId="476B30BE" w14:textId="5B4543D3" w:rsidR="00B776AD" w:rsidRDefault="001F5C10" w:rsidP="00B776AD">
      <w:pPr>
        <w:jc w:val="both"/>
        <w:rPr>
          <w:b/>
          <w:bCs/>
        </w:rPr>
      </w:pPr>
      <w:r>
        <w:rPr>
          <w:b/>
          <w:bCs/>
        </w:rPr>
        <w:t xml:space="preserve">Consulta </w:t>
      </w:r>
      <w:proofErr w:type="spellStart"/>
      <w:r>
        <w:rPr>
          <w:b/>
          <w:bCs/>
        </w:rPr>
        <w:t>nª</w:t>
      </w:r>
      <w:proofErr w:type="spellEnd"/>
      <w:r>
        <w:rPr>
          <w:b/>
          <w:bCs/>
        </w:rPr>
        <w:t xml:space="preserve"> XXX</w:t>
      </w:r>
      <w:r w:rsidRPr="00B776AD">
        <w:rPr>
          <w:b/>
          <w:bCs/>
        </w:rPr>
        <w:t xml:space="preserve"> </w:t>
      </w:r>
      <w:r w:rsidR="00B776AD" w:rsidRPr="00B776AD">
        <w:rPr>
          <w:b/>
          <w:bCs/>
        </w:rPr>
        <w:t>Para los sistemas de iluminación conectados, ¿qué documentación, certificaciones o pruebas de cumplimiento en materia de ciberseguridad deben presentarse como parte de la oferta?</w:t>
      </w:r>
    </w:p>
    <w:p w14:paraId="2E4FC013" w14:textId="77777777" w:rsidR="00700D48" w:rsidRDefault="00700D48" w:rsidP="00700D48">
      <w:pPr>
        <w:jc w:val="both"/>
        <w:rPr>
          <w:b/>
          <w:bCs/>
        </w:rPr>
      </w:pPr>
    </w:p>
    <w:p w14:paraId="400FD470" w14:textId="44885C0A" w:rsidR="00453A2B" w:rsidRDefault="00700D48" w:rsidP="00B776AD">
      <w:pPr>
        <w:jc w:val="both"/>
        <w:rPr>
          <w:b/>
          <w:bCs/>
        </w:rPr>
      </w:pPr>
      <w:r w:rsidRPr="00787A89">
        <w:rPr>
          <w:b/>
          <w:bCs/>
        </w:rPr>
        <w:t>Respuesta:</w:t>
      </w:r>
    </w:p>
    <w:p w14:paraId="7F9260DD" w14:textId="3E3FBBE2" w:rsidR="00453A2B" w:rsidRDefault="00453A2B" w:rsidP="00B776AD">
      <w:pPr>
        <w:jc w:val="both"/>
        <w:rPr>
          <w:rFonts w:ascii="Cambria" w:hAnsi="Cambria"/>
          <w:color w:val="275317" w:themeColor="accent6" w:themeShade="80"/>
        </w:rPr>
      </w:pPr>
      <w:r w:rsidRPr="00453A2B">
        <w:rPr>
          <w:rFonts w:ascii="Cambria" w:hAnsi="Cambria"/>
          <w:color w:val="275317" w:themeColor="accent6" w:themeShade="80"/>
        </w:rPr>
        <w:t>No es objeto de esta licitación la implantación de nodos y sistema conectado</w:t>
      </w:r>
      <w:r w:rsidR="00700D48">
        <w:rPr>
          <w:rFonts w:ascii="Cambria" w:hAnsi="Cambria"/>
          <w:color w:val="275317" w:themeColor="accent6" w:themeShade="80"/>
        </w:rPr>
        <w:t>.</w:t>
      </w:r>
    </w:p>
    <w:p w14:paraId="0A82E6FE" w14:textId="77777777" w:rsidR="00453A2B" w:rsidRPr="00453A2B" w:rsidRDefault="00453A2B" w:rsidP="00B776AD">
      <w:pPr>
        <w:jc w:val="both"/>
        <w:rPr>
          <w:rFonts w:ascii="Cambria" w:hAnsi="Cambria"/>
          <w:color w:val="275317" w:themeColor="accent6" w:themeShade="80"/>
        </w:rPr>
      </w:pPr>
    </w:p>
    <w:p w14:paraId="13AC01CB" w14:textId="77777777" w:rsidR="003E2E7D" w:rsidRPr="00700D48" w:rsidRDefault="001F5C10" w:rsidP="00B776AD">
      <w:pPr>
        <w:jc w:val="both"/>
        <w:rPr>
          <w:b/>
          <w:bCs/>
        </w:rPr>
      </w:pPr>
      <w:r w:rsidRPr="00700D48">
        <w:rPr>
          <w:b/>
          <w:bCs/>
        </w:rPr>
        <w:t xml:space="preserve">Consulta </w:t>
      </w:r>
      <w:proofErr w:type="spellStart"/>
      <w:r w:rsidRPr="00700D48">
        <w:rPr>
          <w:b/>
          <w:bCs/>
        </w:rPr>
        <w:t>nª</w:t>
      </w:r>
      <w:proofErr w:type="spellEnd"/>
      <w:r w:rsidRPr="00700D48">
        <w:rPr>
          <w:b/>
          <w:bCs/>
        </w:rPr>
        <w:t xml:space="preserve"> XXX </w:t>
      </w:r>
      <w:r w:rsidR="00B776AD" w:rsidRPr="00700D48">
        <w:rPr>
          <w:b/>
          <w:bCs/>
        </w:rPr>
        <w:t>Dado que la región del Caribe está sujeta a huracanes y vientos fuertes, ¿exige MEM que las farolas LED destinadas a ser instaladas en la República Dominicana sean probadas en un túnel de viento certificado?</w:t>
      </w:r>
    </w:p>
    <w:p w14:paraId="59C2FBDF" w14:textId="77777777" w:rsidR="00700D48" w:rsidRDefault="00700D48" w:rsidP="00762C7F">
      <w:pPr>
        <w:jc w:val="both"/>
        <w:rPr>
          <w:rFonts w:ascii="Cambria" w:hAnsi="Cambria"/>
          <w:color w:val="275317" w:themeColor="accent6" w:themeShade="80"/>
        </w:rPr>
      </w:pPr>
    </w:p>
    <w:p w14:paraId="0E0C8641" w14:textId="02622767" w:rsidR="00700D48" w:rsidRPr="00700D48" w:rsidRDefault="00700D48" w:rsidP="00762C7F">
      <w:pPr>
        <w:jc w:val="both"/>
        <w:rPr>
          <w:b/>
          <w:bCs/>
        </w:rPr>
      </w:pPr>
      <w:r w:rsidRPr="00787A89">
        <w:rPr>
          <w:b/>
          <w:bCs/>
        </w:rPr>
        <w:lastRenderedPageBreak/>
        <w:t>Respuesta:</w:t>
      </w:r>
    </w:p>
    <w:p w14:paraId="4AC40D36" w14:textId="28458503" w:rsidR="00A57301" w:rsidRPr="00762C7F" w:rsidRDefault="00762C7F" w:rsidP="00762C7F">
      <w:pPr>
        <w:jc w:val="both"/>
        <w:rPr>
          <w:rFonts w:ascii="Cambria" w:hAnsi="Cambria"/>
          <w:color w:val="275317" w:themeColor="accent6" w:themeShade="80"/>
        </w:rPr>
      </w:pPr>
      <w:r>
        <w:rPr>
          <w:rFonts w:ascii="Cambria" w:hAnsi="Cambria"/>
          <w:color w:val="275317" w:themeColor="accent6" w:themeShade="80"/>
        </w:rPr>
        <w:t xml:space="preserve">Los postes ofertados deberán cumplir con los establecido en el apartado </w:t>
      </w:r>
      <w:r w:rsidRPr="00762C7F">
        <w:rPr>
          <w:rFonts w:ascii="Cambria" w:hAnsi="Cambria"/>
          <w:i/>
          <w:color w:val="275317" w:themeColor="accent6" w:themeShade="80"/>
        </w:rPr>
        <w:t>4.6 Postes</w:t>
      </w:r>
      <w:r>
        <w:rPr>
          <w:rFonts w:ascii="Cambria" w:hAnsi="Cambria"/>
          <w:color w:val="275317" w:themeColor="accent6" w:themeShade="80"/>
        </w:rPr>
        <w:t xml:space="preserve"> </w:t>
      </w:r>
      <w:r w:rsidRPr="00762C7F">
        <w:rPr>
          <w:rFonts w:ascii="Cambria" w:hAnsi="Cambria"/>
          <w:i/>
          <w:color w:val="275317" w:themeColor="accent6" w:themeShade="80"/>
        </w:rPr>
        <w:t>(4.6.1. Cálculos mecánicos de soporte)</w:t>
      </w:r>
      <w:r>
        <w:t xml:space="preserve"> </w:t>
      </w:r>
      <w:r>
        <w:rPr>
          <w:rFonts w:ascii="Cambria" w:hAnsi="Cambria"/>
          <w:color w:val="275317" w:themeColor="accent6" w:themeShade="80"/>
        </w:rPr>
        <w:t xml:space="preserve">del documento de la </w:t>
      </w:r>
      <w:r w:rsidRPr="00762C7F">
        <w:rPr>
          <w:rFonts w:ascii="Cambria" w:hAnsi="Cambria"/>
          <w:i/>
          <w:color w:val="275317" w:themeColor="accent6" w:themeShade="80"/>
        </w:rPr>
        <w:t xml:space="preserve">SIE NORMAS DE DISEÑO Y CONSTRUCCION PARA REDES ELECTRICAS DE DISTRIBUCION - Resolución SIE-004-2023-REG, del 11 de </w:t>
      </w:r>
      <w:proofErr w:type="gramStart"/>
      <w:r w:rsidRPr="00762C7F">
        <w:rPr>
          <w:rFonts w:ascii="Cambria" w:hAnsi="Cambria"/>
          <w:i/>
          <w:color w:val="275317" w:themeColor="accent6" w:themeShade="80"/>
        </w:rPr>
        <w:t>Enero</w:t>
      </w:r>
      <w:proofErr w:type="gramEnd"/>
      <w:r w:rsidRPr="00762C7F">
        <w:rPr>
          <w:rFonts w:ascii="Cambria" w:hAnsi="Cambria"/>
          <w:i/>
          <w:color w:val="275317" w:themeColor="accent6" w:themeShade="80"/>
        </w:rPr>
        <w:t xml:space="preserve"> de 2023</w:t>
      </w:r>
      <w:r>
        <w:rPr>
          <w:rFonts w:ascii="Cambria" w:hAnsi="Cambria"/>
          <w:color w:val="275317" w:themeColor="accent6" w:themeShade="80"/>
        </w:rPr>
        <w:t xml:space="preserve"> y con la norma ANSI C136.36 C que establece los requisitos de fabricación, rendimiento y pruebas para los postes de acero utilizados para alumbrado público.</w:t>
      </w:r>
    </w:p>
    <w:p w14:paraId="01A5A553" w14:textId="77777777" w:rsidR="00A57301" w:rsidRPr="00B776AD" w:rsidRDefault="00A57301" w:rsidP="00B776AD">
      <w:pPr>
        <w:jc w:val="both"/>
        <w:rPr>
          <w:b/>
          <w:bCs/>
        </w:rPr>
      </w:pPr>
    </w:p>
    <w:p w14:paraId="1F297EA7" w14:textId="74C61115" w:rsidR="00B776AD" w:rsidRDefault="001F5C10" w:rsidP="00B776AD">
      <w:pPr>
        <w:jc w:val="both"/>
        <w:rPr>
          <w:b/>
          <w:bCs/>
        </w:rPr>
      </w:pPr>
      <w:r>
        <w:rPr>
          <w:b/>
          <w:bCs/>
        </w:rPr>
        <w:t xml:space="preserve">Consulta </w:t>
      </w:r>
      <w:proofErr w:type="spellStart"/>
      <w:r>
        <w:rPr>
          <w:b/>
          <w:bCs/>
        </w:rPr>
        <w:t>nª</w:t>
      </w:r>
      <w:proofErr w:type="spellEnd"/>
      <w:r>
        <w:rPr>
          <w:b/>
          <w:bCs/>
        </w:rPr>
        <w:t xml:space="preserve"> XXX</w:t>
      </w:r>
      <w:r w:rsidRPr="00B776AD">
        <w:rPr>
          <w:b/>
          <w:bCs/>
        </w:rPr>
        <w:t xml:space="preserve"> </w:t>
      </w:r>
      <w:r w:rsidR="00B776AD" w:rsidRPr="00B776AD">
        <w:rPr>
          <w:b/>
          <w:bCs/>
        </w:rPr>
        <w:t>Los proyectos de reemplazo de alumbrado público</w:t>
      </w:r>
      <w:r w:rsidR="002464B9">
        <w:rPr>
          <w:b/>
          <w:bCs/>
        </w:rPr>
        <w:t xml:space="preserve"> </w:t>
      </w:r>
      <w:r w:rsidR="00B776AD" w:rsidRPr="00B776AD">
        <w:rPr>
          <w:b/>
          <w:bCs/>
        </w:rPr>
        <w:t xml:space="preserve">de LED </w:t>
      </w:r>
      <w:proofErr w:type="spellStart"/>
      <w:r w:rsidR="00B776AD" w:rsidRPr="00B776AD">
        <w:rPr>
          <w:b/>
          <w:bCs/>
        </w:rPr>
        <w:t>Roadway</w:t>
      </w:r>
      <w:proofErr w:type="spellEnd"/>
      <w:r w:rsidR="00B776AD" w:rsidRPr="00B776AD">
        <w:rPr>
          <w:b/>
          <w:bCs/>
        </w:rPr>
        <w:t xml:space="preserve"> </w:t>
      </w:r>
      <w:proofErr w:type="spellStart"/>
      <w:r w:rsidR="00B776AD" w:rsidRPr="00B776AD">
        <w:rPr>
          <w:b/>
          <w:bCs/>
        </w:rPr>
        <w:t>Lighitng</w:t>
      </w:r>
      <w:proofErr w:type="spellEnd"/>
      <w:r w:rsidR="00B776AD" w:rsidRPr="00B776AD">
        <w:rPr>
          <w:b/>
          <w:bCs/>
        </w:rPr>
        <w:t xml:space="preserve"> generalmente se diseñan para maximizar el ahorro de energía manteniendo niveles de iluminación vial seguros y adecuados. Estos niveles de iluminación se basan comúnmente en la Práctica Recomendada RP-8 de la Sociedad de Ingeniería de Iluminación (IES): Iluminación de Carreteras y Estacionamientos, que proporciona orientación sobre la iluminación promedio, la uniformidad y otros criterios para clasificaciones viales específicas. Utilizando estos estándares, se pueden desarrollar diseños de alumbrado público consistentes que sirven como referencia para comparar soluciones de diferentes proveedores. Esto permite una evaluación justa de las luminarias LED para determinar qué opciones ofrecen el mayor ahorro de energía manteniendo un rendimiento de iluminación equivalente. ¿Podría aclarar cómo se evaluará y comparará el rendimiento de las luminarias LED propuestas durante este proceso competitivo?</w:t>
      </w:r>
    </w:p>
    <w:p w14:paraId="200F48C1" w14:textId="77777777" w:rsidR="007B63D3" w:rsidRDefault="007B63D3" w:rsidP="007B63D3">
      <w:pPr>
        <w:jc w:val="both"/>
        <w:rPr>
          <w:b/>
          <w:bCs/>
        </w:rPr>
      </w:pPr>
    </w:p>
    <w:p w14:paraId="387C73CD" w14:textId="0566CC9D" w:rsidR="00592D53" w:rsidRPr="007B63D3" w:rsidRDefault="007B63D3" w:rsidP="00B776AD">
      <w:pPr>
        <w:jc w:val="both"/>
        <w:rPr>
          <w:b/>
          <w:bCs/>
        </w:rPr>
      </w:pPr>
      <w:r w:rsidRPr="00787A89">
        <w:rPr>
          <w:b/>
          <w:bCs/>
        </w:rPr>
        <w:t>Respuesta:</w:t>
      </w:r>
    </w:p>
    <w:p w14:paraId="6D8A535A" w14:textId="527B0B1A" w:rsidR="00592D53" w:rsidRPr="00592D53" w:rsidRDefault="00592D53" w:rsidP="00B776AD">
      <w:pPr>
        <w:jc w:val="both"/>
        <w:rPr>
          <w:rFonts w:ascii="Cambria" w:hAnsi="Cambria"/>
          <w:color w:val="275317" w:themeColor="accent6" w:themeShade="80"/>
        </w:rPr>
      </w:pPr>
      <w:r>
        <w:rPr>
          <w:rFonts w:ascii="Cambria" w:hAnsi="Cambria"/>
          <w:color w:val="275317" w:themeColor="accent6" w:themeShade="80"/>
        </w:rPr>
        <w:t>Se valora mediante las fichas de exigencia de cumplimientos mínimos y los criterios puntuables.</w:t>
      </w:r>
    </w:p>
    <w:p w14:paraId="70747C29" w14:textId="77777777" w:rsidR="00592D53" w:rsidRPr="00B776AD" w:rsidRDefault="00592D53" w:rsidP="00B776AD">
      <w:pPr>
        <w:jc w:val="both"/>
        <w:rPr>
          <w:b/>
          <w:bCs/>
        </w:rPr>
      </w:pPr>
    </w:p>
    <w:p w14:paraId="15EC870A" w14:textId="399ED7A9" w:rsidR="00B776AD" w:rsidRDefault="004656FE" w:rsidP="00B776AD">
      <w:pPr>
        <w:jc w:val="both"/>
        <w:rPr>
          <w:b/>
          <w:bCs/>
        </w:rPr>
      </w:pPr>
      <w:r>
        <w:rPr>
          <w:b/>
          <w:bCs/>
        </w:rPr>
        <w:t xml:space="preserve">Consulta </w:t>
      </w:r>
      <w:proofErr w:type="spellStart"/>
      <w:r>
        <w:rPr>
          <w:b/>
          <w:bCs/>
        </w:rPr>
        <w:t>nª</w:t>
      </w:r>
      <w:proofErr w:type="spellEnd"/>
      <w:r>
        <w:rPr>
          <w:b/>
          <w:bCs/>
        </w:rPr>
        <w:t xml:space="preserve"> XXX</w:t>
      </w:r>
      <w:r w:rsidRPr="00B776AD">
        <w:rPr>
          <w:b/>
          <w:bCs/>
        </w:rPr>
        <w:t xml:space="preserve"> </w:t>
      </w:r>
      <w:r w:rsidR="00B776AD" w:rsidRPr="00B776AD">
        <w:rPr>
          <w:b/>
          <w:bCs/>
        </w:rPr>
        <w:t>El clima caribeño presenta desafíos ambientales únicos para la infraestructura pública, incluidas las luminarias LED para alumbrado público. Las altas temperaturas, la humedad y la exposición a condiciones climáticas tropicales pueden afectar significativamente el rendimiento a largo plazo de los sistemas electrónicos exteriores, por lo que un diseño adecuado de las luminarias es una consideración importante. Existen diversos enfoques para abordar estas condiciones ambientales. Muchas jurisdicciones caribeñas que han completado programas de modernización de alumbrado público LED a gran escala, incluidas Aruba, Jamaica, Bonaire, Curazao y otras, han adoptado luminarias no totalmente encapsuladas. Las luminarias con clasificaciones como IP20 o IP43 permiten que la humedad o condensación acumulada drene del dispositivo, al tiempo que utilizan componentes internos sellados de fábrica con clasificación IP66, como controladores, módulos LED y dispositivos de protección contra sobretensiones. Estas soluciones se han implementado ampliamente y han demostrado un rendimiento fiable en climas tropicales, incluidas las regiones propensas a huracanes. En comparación, las luminarias IP66 totalmente encapsuladas pueden no incluir características de drenaje, lo que podría crear un riesgo adicional en el improbable caso de entrada de humedad, lo que podría provocar fallas prematuras y mayores costos de mantenimiento. Las luminarias no totalmente encapsuladas también pueden ofrecer ventajas en cuanto a la eficiencia de la instalación y la reducción del riesgo de problemas de montaje en obra. ¿Podría confirmar si las luminarias no totalmente encapsuladas (por ejemplo, carcasas IP20 o IP43 con componentes internos sellados IP66) se considerarán aceptables para este proyecto?</w:t>
      </w:r>
    </w:p>
    <w:p w14:paraId="53C454DD" w14:textId="77777777" w:rsidR="007B63D3" w:rsidRDefault="007B63D3" w:rsidP="007B63D3">
      <w:pPr>
        <w:jc w:val="both"/>
        <w:rPr>
          <w:b/>
          <w:bCs/>
        </w:rPr>
      </w:pPr>
      <w:r w:rsidRPr="00787A89">
        <w:rPr>
          <w:b/>
          <w:bCs/>
        </w:rPr>
        <w:lastRenderedPageBreak/>
        <w:t>Respuesta:</w:t>
      </w:r>
    </w:p>
    <w:p w14:paraId="0EE8ADE7" w14:textId="06035FB4" w:rsidR="004656FE" w:rsidRDefault="004656FE" w:rsidP="00B776AD">
      <w:pPr>
        <w:jc w:val="both"/>
        <w:rPr>
          <w:rFonts w:ascii="Cambria" w:hAnsi="Cambria"/>
          <w:color w:val="275317" w:themeColor="accent6" w:themeShade="80"/>
        </w:rPr>
      </w:pPr>
      <w:r w:rsidRPr="004656FE">
        <w:rPr>
          <w:rFonts w:ascii="Cambria" w:hAnsi="Cambria"/>
          <w:color w:val="275317" w:themeColor="accent6" w:themeShade="80"/>
        </w:rPr>
        <w:t>Las exigencias técnicas mínimas son las exigidas en los pliegos.</w:t>
      </w:r>
    </w:p>
    <w:p w14:paraId="4A7B2287" w14:textId="77777777" w:rsidR="007B63D3" w:rsidRPr="004656FE" w:rsidRDefault="007B63D3" w:rsidP="00B776AD">
      <w:pPr>
        <w:jc w:val="both"/>
        <w:rPr>
          <w:rFonts w:ascii="Cambria" w:hAnsi="Cambria"/>
          <w:color w:val="275317" w:themeColor="accent6" w:themeShade="80"/>
        </w:rPr>
      </w:pPr>
    </w:p>
    <w:p w14:paraId="69477BAD" w14:textId="48387068" w:rsidR="00B776AD" w:rsidRDefault="00477962" w:rsidP="00B776AD">
      <w:pPr>
        <w:jc w:val="both"/>
        <w:rPr>
          <w:b/>
          <w:bCs/>
        </w:rPr>
      </w:pPr>
      <w:r>
        <w:rPr>
          <w:b/>
          <w:bCs/>
        </w:rPr>
        <w:t xml:space="preserve">Consulta </w:t>
      </w:r>
      <w:proofErr w:type="spellStart"/>
      <w:r>
        <w:rPr>
          <w:b/>
          <w:bCs/>
        </w:rPr>
        <w:t>nª</w:t>
      </w:r>
      <w:proofErr w:type="spellEnd"/>
      <w:r>
        <w:rPr>
          <w:b/>
          <w:bCs/>
        </w:rPr>
        <w:t xml:space="preserve"> </w:t>
      </w:r>
      <w:proofErr w:type="gramStart"/>
      <w:r>
        <w:rPr>
          <w:b/>
          <w:bCs/>
        </w:rPr>
        <w:t>XXX</w:t>
      </w:r>
      <w:proofErr w:type="gramEnd"/>
      <w:r w:rsidRPr="00B776AD">
        <w:rPr>
          <w:b/>
          <w:bCs/>
        </w:rPr>
        <w:t xml:space="preserve"> </w:t>
      </w:r>
      <w:r w:rsidR="00B776AD" w:rsidRPr="00B776AD">
        <w:rPr>
          <w:b/>
          <w:bCs/>
        </w:rPr>
        <w:t>Además, varios fabricantes ofrecen farolas LED y sistemas de control de iluminación como una solución integrada, lo que puede proporcionar beneficios como un soporte simplificado, una mayor compatibilidad del sistema, una reducción de los costes generales y una mayor fiabilidad. ¿MEM otorga alguna preferencia o beneficio de evaluación a las propuestas que suministran farolas LED y controles de un único proveedor?</w:t>
      </w:r>
    </w:p>
    <w:p w14:paraId="469E3212" w14:textId="77777777" w:rsidR="007B63D3" w:rsidRDefault="007B63D3" w:rsidP="007B63D3">
      <w:pPr>
        <w:jc w:val="both"/>
        <w:rPr>
          <w:b/>
          <w:bCs/>
        </w:rPr>
      </w:pPr>
    </w:p>
    <w:p w14:paraId="383D1581" w14:textId="3DF3C9A3" w:rsidR="00477962" w:rsidRDefault="007B63D3" w:rsidP="00B776AD">
      <w:pPr>
        <w:jc w:val="both"/>
        <w:rPr>
          <w:b/>
          <w:bCs/>
        </w:rPr>
      </w:pPr>
      <w:r w:rsidRPr="00787A89">
        <w:rPr>
          <w:b/>
          <w:bCs/>
        </w:rPr>
        <w:t>Respuesta:</w:t>
      </w:r>
    </w:p>
    <w:p w14:paraId="29A9EC7A" w14:textId="12AAC936" w:rsidR="00477962" w:rsidRPr="00477962" w:rsidRDefault="00477962" w:rsidP="00B776AD">
      <w:pPr>
        <w:jc w:val="both"/>
        <w:rPr>
          <w:rFonts w:ascii="Cambria" w:hAnsi="Cambria"/>
          <w:color w:val="275317" w:themeColor="accent6" w:themeShade="80"/>
        </w:rPr>
      </w:pPr>
      <w:r w:rsidRPr="00477962">
        <w:rPr>
          <w:rFonts w:ascii="Cambria" w:hAnsi="Cambria"/>
          <w:color w:val="275317" w:themeColor="accent6" w:themeShade="80"/>
        </w:rPr>
        <w:t>Los controles no son objeto de esta licitación</w:t>
      </w:r>
    </w:p>
    <w:p w14:paraId="1F3C51AA" w14:textId="77777777" w:rsidR="00891530" w:rsidRPr="00891530" w:rsidRDefault="00891530" w:rsidP="00E1521D">
      <w:pPr>
        <w:jc w:val="both"/>
        <w:rPr>
          <w:b/>
          <w:bCs/>
        </w:rPr>
      </w:pPr>
    </w:p>
    <w:p w14:paraId="21917057" w14:textId="77777777" w:rsidR="00891530" w:rsidRPr="00891530" w:rsidRDefault="00891530" w:rsidP="00E1521D">
      <w:pPr>
        <w:jc w:val="both"/>
      </w:pPr>
    </w:p>
    <w:p w14:paraId="527065B6" w14:textId="3CFACF15" w:rsidR="00891530" w:rsidRDefault="00891530" w:rsidP="00E1521D">
      <w:pPr>
        <w:spacing w:after="160" w:line="278" w:lineRule="auto"/>
        <w:jc w:val="both"/>
      </w:pPr>
      <w:r>
        <w:br w:type="page"/>
      </w:r>
    </w:p>
    <w:p w14:paraId="7CE73BE8" w14:textId="77777777" w:rsidR="00891530" w:rsidRPr="00891530" w:rsidRDefault="00891530" w:rsidP="00E1521D">
      <w:pPr>
        <w:jc w:val="both"/>
      </w:pPr>
    </w:p>
    <w:p w14:paraId="1E55C2AA" w14:textId="5DC11893" w:rsidR="00D73417" w:rsidRPr="00891530" w:rsidRDefault="00891530" w:rsidP="00E1521D">
      <w:pPr>
        <w:pStyle w:val="Ttulo1"/>
        <w:jc w:val="both"/>
      </w:pPr>
      <w:r>
        <w:t>CONSULTAS SESIÓN INFORMATIVA 17/04</w:t>
      </w:r>
    </w:p>
    <w:p w14:paraId="171BD33B" w14:textId="77777777" w:rsidR="00D97D3D" w:rsidRPr="00D97D3D" w:rsidRDefault="00D97D3D" w:rsidP="00E1521D">
      <w:pPr>
        <w:pStyle w:val="Prrafodelista"/>
        <w:shd w:val="clear" w:color="auto" w:fill="FFFFFF" w:themeFill="background1"/>
        <w:jc w:val="both"/>
        <w:rPr>
          <w:rFonts w:ascii="Cambria" w:hAnsi="Cambria"/>
          <w:b/>
          <w:bCs/>
        </w:rPr>
      </w:pPr>
    </w:p>
    <w:p w14:paraId="22DB53CF" w14:textId="05A58679" w:rsidR="00200170" w:rsidRPr="006C64A0" w:rsidRDefault="006C64A0" w:rsidP="00E1521D">
      <w:pPr>
        <w:jc w:val="both"/>
        <w:rPr>
          <w:rFonts w:ascii="Cambria" w:hAnsi="Cambria"/>
          <w:b/>
          <w:bCs/>
          <w:color w:val="EE0000"/>
        </w:rPr>
      </w:pPr>
      <w:r w:rsidRPr="006C64A0">
        <w:rPr>
          <w:rFonts w:ascii="Cambria" w:hAnsi="Cambria"/>
          <w:b/>
          <w:bCs/>
          <w:color w:val="EE0000"/>
        </w:rPr>
        <w:t>Las siguientes consultas fueron formuladas durante la sesión informativa y por el carácter de sus respuestas de cara a la presentación de ofertas, deben ser recogidas aquí:</w:t>
      </w:r>
    </w:p>
    <w:p w14:paraId="31CDB33D" w14:textId="77777777" w:rsidR="00027BBE" w:rsidRDefault="00027BBE" w:rsidP="00E1521D">
      <w:pPr>
        <w:shd w:val="clear" w:color="auto" w:fill="E8E8E8" w:themeFill="background2"/>
        <w:jc w:val="both"/>
        <w:rPr>
          <w:b/>
          <w:bCs/>
        </w:rPr>
      </w:pPr>
      <w:r w:rsidRPr="004C3CC6">
        <w:rPr>
          <w:b/>
          <w:bCs/>
        </w:rPr>
        <w:t>Intervención</w:t>
      </w:r>
      <w:r>
        <w:rPr>
          <w:b/>
          <w:bCs/>
        </w:rPr>
        <w:t xml:space="preserve"> 7</w:t>
      </w:r>
      <w:r w:rsidRPr="004C3CC6">
        <w:rPr>
          <w:b/>
          <w:bCs/>
        </w:rPr>
        <w:t>:</w:t>
      </w:r>
    </w:p>
    <w:p w14:paraId="3B61FC4F" w14:textId="77777777" w:rsidR="00027BBE" w:rsidRPr="004C3CC6" w:rsidRDefault="00027BBE" w:rsidP="00E1521D">
      <w:pPr>
        <w:shd w:val="clear" w:color="auto" w:fill="E8E8E8" w:themeFill="background2"/>
        <w:jc w:val="both"/>
        <w:rPr>
          <w:b/>
          <w:bCs/>
        </w:rPr>
      </w:pPr>
      <w:r w:rsidRPr="004C3CC6">
        <w:rPr>
          <w:b/>
          <w:bCs/>
        </w:rPr>
        <w:t>“En relación con la experiencia de 250 mil luminarias: en República Dominicana las experiencias normalmente no van enfocadas específicamente a contratos de luminarias, pero sí instalamos y hay consorcios que no solamente instalan este tipo de lámparas, sino también otros tipos de lámparas</w:t>
      </w:r>
      <w:r>
        <w:rPr>
          <w:b/>
          <w:bCs/>
        </w:rPr>
        <w:t xml:space="preserve">, incluso más complejas. </w:t>
      </w:r>
      <w:r w:rsidRPr="004C3CC6">
        <w:rPr>
          <w:b/>
          <w:bCs/>
        </w:rPr>
        <w:t>Esas experiencias, en términos de puntos de iluminación, ¿funcionan en este proceso?</w:t>
      </w:r>
      <w:r>
        <w:rPr>
          <w:b/>
          <w:bCs/>
        </w:rPr>
        <w:t xml:space="preserve"> </w:t>
      </w:r>
      <w:r w:rsidRPr="004C3CC6">
        <w:rPr>
          <w:b/>
          <w:bCs/>
        </w:rPr>
        <w:t>Nosotros instalamos y hacemos mantenimiento también; tenemos contratos de mantenimiento. En un contrato de mantenimiento podemos haber reparado o sustituido miles de luminarias. Entendemos que eso es una experiencia importante, incluso a veces más compleja.”</w:t>
      </w:r>
    </w:p>
    <w:p w14:paraId="3CDBFDD6" w14:textId="77777777" w:rsidR="00F67D37" w:rsidRDefault="00F67D37" w:rsidP="00E1521D">
      <w:pPr>
        <w:jc w:val="both"/>
        <w:rPr>
          <w:b/>
          <w:bCs/>
        </w:rPr>
      </w:pPr>
    </w:p>
    <w:p w14:paraId="391931AD" w14:textId="38FA63EC" w:rsidR="00027BBE" w:rsidRDefault="00027BBE" w:rsidP="00E1521D">
      <w:pPr>
        <w:jc w:val="both"/>
      </w:pPr>
      <w:r w:rsidRPr="004C3CC6">
        <w:rPr>
          <w:b/>
          <w:bCs/>
        </w:rPr>
        <w:t>Respuesta:</w:t>
      </w:r>
      <w:r w:rsidRPr="004C3CC6">
        <w:rPr>
          <w:b/>
          <w:bCs/>
        </w:rPr>
        <w:br/>
      </w:r>
      <w:r w:rsidRPr="004C3CC6">
        <w:t>“En los pliegos se habla de acreditar experiencia y del tipo de trabajos en los que haya participado el oferente.</w:t>
      </w:r>
      <w:r w:rsidRPr="003502FC">
        <w:t xml:space="preserve"> </w:t>
      </w:r>
      <w:r w:rsidRPr="004C3CC6">
        <w:t>En el momento en que recibamos la oferta y entendamos el nivel de experiencia que tiene el oferente en estos temas, el comité de evaluación irá asignando la puntuación.</w:t>
      </w:r>
      <w:r w:rsidRPr="003502FC">
        <w:t xml:space="preserve"> </w:t>
      </w:r>
      <w:r w:rsidRPr="004C3CC6">
        <w:t>Los pliegos hacen claridad entre la experiencia general y la experiencia específica.</w:t>
      </w:r>
      <w:r w:rsidRPr="004C3CC6">
        <w:br/>
        <w:t>Entiendo que la naturaleza del trabajo puede ser la misma; vamos a tomar nota técnica también, porque eso sí es una parte que podemos revisar con el equipo para chequear ese tema puntual</w:t>
      </w:r>
      <w:proofErr w:type="gramStart"/>
      <w:r w:rsidRPr="00B476A5">
        <w:rPr>
          <w:highlight w:val="yellow"/>
        </w:rPr>
        <w:t>.”</w:t>
      </w:r>
      <w:r w:rsidR="00B476A5" w:rsidRPr="00B476A5">
        <w:rPr>
          <w:highlight w:val="yellow"/>
        </w:rPr>
        <w:t>(</w:t>
      </w:r>
      <w:proofErr w:type="gramEnd"/>
      <w:r w:rsidR="00B476A5" w:rsidRPr="00B476A5">
        <w:rPr>
          <w:highlight w:val="yellow"/>
        </w:rPr>
        <w:t xml:space="preserve"> valorar por el coordinador general de </w:t>
      </w:r>
      <w:proofErr w:type="spellStart"/>
      <w:r w:rsidR="00B476A5" w:rsidRPr="00B476A5">
        <w:rPr>
          <w:highlight w:val="yellow"/>
        </w:rPr>
        <w:t>uep</w:t>
      </w:r>
      <w:proofErr w:type="spellEnd"/>
      <w:r w:rsidR="00B476A5" w:rsidRPr="00B476A5">
        <w:rPr>
          <w:highlight w:val="yellow"/>
        </w:rPr>
        <w:t>).</w:t>
      </w:r>
    </w:p>
    <w:p w14:paraId="23D641E4" w14:textId="77777777" w:rsidR="006C64A0" w:rsidRDefault="006C64A0" w:rsidP="00E1521D">
      <w:pPr>
        <w:jc w:val="both"/>
        <w:rPr>
          <w:rFonts w:ascii="Cambria" w:hAnsi="Cambria"/>
          <w:b/>
          <w:bCs/>
        </w:rPr>
      </w:pPr>
    </w:p>
    <w:p w14:paraId="1BEF1CD1" w14:textId="77777777" w:rsidR="00D614C4" w:rsidRDefault="00D614C4" w:rsidP="00E1521D">
      <w:pPr>
        <w:shd w:val="clear" w:color="auto" w:fill="E8E8E8" w:themeFill="background2"/>
        <w:jc w:val="both"/>
        <w:rPr>
          <w:b/>
          <w:bCs/>
        </w:rPr>
      </w:pPr>
      <w:r w:rsidRPr="00471AAF">
        <w:rPr>
          <w:b/>
          <w:bCs/>
        </w:rPr>
        <w:t>Intervención</w:t>
      </w:r>
      <w:r>
        <w:rPr>
          <w:b/>
          <w:bCs/>
        </w:rPr>
        <w:t xml:space="preserve"> 10</w:t>
      </w:r>
      <w:r w:rsidRPr="00471AAF">
        <w:rPr>
          <w:b/>
          <w:bCs/>
        </w:rPr>
        <w:t>:</w:t>
      </w:r>
      <w:r>
        <w:rPr>
          <w:b/>
          <w:bCs/>
        </w:rPr>
        <w:t xml:space="preserve"> </w:t>
      </w:r>
    </w:p>
    <w:p w14:paraId="3F3151C5" w14:textId="77777777" w:rsidR="00D614C4" w:rsidRPr="00471AAF" w:rsidRDefault="00D614C4" w:rsidP="00E1521D">
      <w:pPr>
        <w:shd w:val="clear" w:color="auto" w:fill="E8E8E8" w:themeFill="background2"/>
        <w:jc w:val="both"/>
        <w:rPr>
          <w:b/>
          <w:bCs/>
        </w:rPr>
      </w:pPr>
      <w:r w:rsidRPr="00471AAF">
        <w:rPr>
          <w:b/>
          <w:bCs/>
        </w:rPr>
        <w:t>“¿Todos los miembros del consorcio deben aparecer en la garantía?”</w:t>
      </w:r>
    </w:p>
    <w:p w14:paraId="1CD3130B" w14:textId="77777777" w:rsidR="00F67D37" w:rsidRDefault="00F67D37" w:rsidP="00E1521D">
      <w:pPr>
        <w:jc w:val="both"/>
        <w:rPr>
          <w:b/>
          <w:bCs/>
        </w:rPr>
      </w:pPr>
    </w:p>
    <w:p w14:paraId="621AD638" w14:textId="5EA5E1C4" w:rsidR="00D614C4" w:rsidRDefault="00D614C4" w:rsidP="00E1521D">
      <w:pPr>
        <w:jc w:val="both"/>
      </w:pPr>
      <w:r w:rsidRPr="00471AAF">
        <w:rPr>
          <w:b/>
          <w:bCs/>
        </w:rPr>
        <w:t>Respuesta:</w:t>
      </w:r>
      <w:r w:rsidRPr="00471AAF">
        <w:rPr>
          <w:b/>
          <w:bCs/>
        </w:rPr>
        <w:br/>
      </w:r>
      <w:r w:rsidRPr="00C722B5">
        <w:t>“Sí, como el consorcio es una sola entidad, debe estar todo lo que lo compone en la garantía.”</w:t>
      </w:r>
    </w:p>
    <w:p w14:paraId="3A991283" w14:textId="77777777" w:rsidR="00D614C4" w:rsidRDefault="00D614C4" w:rsidP="00E1521D">
      <w:pPr>
        <w:jc w:val="both"/>
      </w:pPr>
    </w:p>
    <w:p w14:paraId="1D680236" w14:textId="77777777" w:rsidR="00D614C4" w:rsidRDefault="00D614C4" w:rsidP="00E1521D">
      <w:pPr>
        <w:shd w:val="clear" w:color="auto" w:fill="E8E8E8" w:themeFill="background2"/>
        <w:jc w:val="both"/>
        <w:rPr>
          <w:b/>
          <w:bCs/>
        </w:rPr>
      </w:pPr>
      <w:r w:rsidRPr="00BD7212">
        <w:rPr>
          <w:b/>
          <w:bCs/>
        </w:rPr>
        <w:t>Intervención</w:t>
      </w:r>
      <w:r>
        <w:rPr>
          <w:b/>
          <w:bCs/>
        </w:rPr>
        <w:t xml:space="preserve"> 11</w:t>
      </w:r>
      <w:r w:rsidRPr="00BD7212">
        <w:rPr>
          <w:b/>
          <w:bCs/>
        </w:rPr>
        <w:t>:</w:t>
      </w:r>
    </w:p>
    <w:p w14:paraId="3A298432" w14:textId="77777777" w:rsidR="00D614C4" w:rsidRPr="00006A66" w:rsidRDefault="00D614C4" w:rsidP="00E1521D">
      <w:pPr>
        <w:shd w:val="clear" w:color="auto" w:fill="E8E8E8" w:themeFill="background2"/>
        <w:jc w:val="both"/>
        <w:rPr>
          <w:b/>
          <w:bCs/>
        </w:rPr>
      </w:pPr>
      <w:r w:rsidRPr="00006A66">
        <w:rPr>
          <w:b/>
          <w:bCs/>
        </w:rPr>
        <w:t>“Estamos en una situación en donde hemos conformado un consorcio en el que hemos incluido distintos suplidores.</w:t>
      </w:r>
      <w:r>
        <w:rPr>
          <w:b/>
          <w:bCs/>
        </w:rPr>
        <w:t xml:space="preserve"> </w:t>
      </w:r>
      <w:r w:rsidRPr="00006A66">
        <w:rPr>
          <w:b/>
          <w:bCs/>
        </w:rPr>
        <w:t>En ese contexto, si se va a tomar como referencia la capacidad de suplido de empresas como Signify, debemos considerar que en muchos casos las luminarias provienen de un mismo fabricante.</w:t>
      </w:r>
    </w:p>
    <w:p w14:paraId="65C13CF1" w14:textId="77777777" w:rsidR="00D614C4" w:rsidRPr="00006A66" w:rsidRDefault="00D614C4" w:rsidP="00E1521D">
      <w:pPr>
        <w:shd w:val="clear" w:color="auto" w:fill="E8E8E8" w:themeFill="background2"/>
        <w:jc w:val="both"/>
        <w:rPr>
          <w:b/>
          <w:bCs/>
        </w:rPr>
      </w:pPr>
      <w:r w:rsidRPr="00006A66">
        <w:rPr>
          <w:b/>
          <w:bCs/>
        </w:rPr>
        <w:t>En ese sentido, puedo certificar que la fábrica con la que trabajamos también cumple con esos niveles de capacidad.</w:t>
      </w:r>
      <w:r>
        <w:rPr>
          <w:b/>
          <w:bCs/>
        </w:rPr>
        <w:t xml:space="preserve"> </w:t>
      </w:r>
      <w:r w:rsidRPr="00006A66">
        <w:rPr>
          <w:b/>
          <w:bCs/>
        </w:rPr>
        <w:t>Si el tema es la referencia a un fabricante específico, incluso podríamos cubrirnos sobre ese mismo ‘árbol’, ya que el fabricante es el mismo.</w:t>
      </w:r>
    </w:p>
    <w:p w14:paraId="414BCE08" w14:textId="77777777" w:rsidR="00D614C4" w:rsidRPr="00006A66" w:rsidRDefault="00D614C4" w:rsidP="00E1521D">
      <w:pPr>
        <w:shd w:val="clear" w:color="auto" w:fill="E8E8E8" w:themeFill="background2"/>
        <w:jc w:val="both"/>
        <w:rPr>
          <w:b/>
          <w:bCs/>
        </w:rPr>
      </w:pPr>
      <w:r w:rsidRPr="00006A66">
        <w:rPr>
          <w:b/>
          <w:bCs/>
        </w:rPr>
        <w:t>Por tanto, surge la inquietud de cómo se estaría considerando la acreditación de la experiencia y la capacidad de suplido bajo este tipo de estructuras de fabricación y comercialización.”</w:t>
      </w:r>
    </w:p>
    <w:p w14:paraId="142BD2A4" w14:textId="77777777" w:rsidR="00D614C4" w:rsidRPr="00CB6EEB" w:rsidRDefault="00D614C4" w:rsidP="00E1521D">
      <w:pPr>
        <w:shd w:val="clear" w:color="auto" w:fill="E8E8E8" w:themeFill="background2"/>
        <w:jc w:val="both"/>
        <w:rPr>
          <w:b/>
          <w:bCs/>
        </w:rPr>
      </w:pPr>
    </w:p>
    <w:p w14:paraId="703C86DC" w14:textId="77777777" w:rsidR="00D614C4" w:rsidRPr="00CB6EEB" w:rsidRDefault="00D614C4" w:rsidP="00E1521D">
      <w:pPr>
        <w:jc w:val="both"/>
        <w:rPr>
          <w:b/>
          <w:bCs/>
        </w:rPr>
      </w:pPr>
      <w:r w:rsidRPr="00CB6EEB">
        <w:rPr>
          <w:b/>
          <w:bCs/>
        </w:rPr>
        <w:t>Respuesta:</w:t>
      </w:r>
    </w:p>
    <w:p w14:paraId="5D0EA958" w14:textId="77777777" w:rsidR="00D614C4" w:rsidRPr="00CB6EEB" w:rsidRDefault="00D614C4" w:rsidP="00E1521D">
      <w:pPr>
        <w:jc w:val="both"/>
      </w:pPr>
      <w:r w:rsidRPr="00CB6EEB">
        <w:t>“La forma de asociación entre participantes es una decisión de cada oferente.</w:t>
      </w:r>
      <w:r w:rsidRPr="00CB6EEB">
        <w:br/>
        <w:t>Lo importante es que la experiencia que se acredite cumpla con lo establecido en el pliego.”</w:t>
      </w:r>
    </w:p>
    <w:p w14:paraId="168385E3" w14:textId="77777777" w:rsidR="00D614C4" w:rsidRDefault="00D614C4" w:rsidP="00E1521D">
      <w:pPr>
        <w:jc w:val="both"/>
        <w:rPr>
          <w:b/>
          <w:bCs/>
        </w:rPr>
      </w:pPr>
    </w:p>
    <w:p w14:paraId="4EB4250A" w14:textId="77777777" w:rsidR="00D614C4" w:rsidRDefault="00D614C4" w:rsidP="00E1521D">
      <w:pPr>
        <w:shd w:val="clear" w:color="auto" w:fill="E8E8E8" w:themeFill="background2"/>
        <w:jc w:val="both"/>
        <w:rPr>
          <w:b/>
          <w:bCs/>
        </w:rPr>
      </w:pPr>
      <w:r w:rsidRPr="004C3CC6">
        <w:rPr>
          <w:b/>
          <w:bCs/>
        </w:rPr>
        <w:t>Intervención</w:t>
      </w:r>
      <w:r>
        <w:rPr>
          <w:b/>
          <w:bCs/>
        </w:rPr>
        <w:t xml:space="preserve"> 12</w:t>
      </w:r>
      <w:r w:rsidRPr="004C3CC6">
        <w:rPr>
          <w:b/>
          <w:bCs/>
        </w:rPr>
        <w:t>:</w:t>
      </w:r>
    </w:p>
    <w:p w14:paraId="6FFDC6B9" w14:textId="77777777" w:rsidR="00D614C4" w:rsidRPr="004C3CC6" w:rsidRDefault="00D614C4" w:rsidP="00E1521D">
      <w:pPr>
        <w:shd w:val="clear" w:color="auto" w:fill="E8E8E8" w:themeFill="background2"/>
        <w:jc w:val="both"/>
        <w:rPr>
          <w:b/>
          <w:bCs/>
        </w:rPr>
      </w:pPr>
      <w:r w:rsidRPr="004C3CC6">
        <w:rPr>
          <w:b/>
          <w:bCs/>
        </w:rPr>
        <w:t>“Nosotros estamos en una situación donde hemos formado un consorcio con un grupo multinacional que le suple a varias fábricas, incluyendo Signify, Cooper y Panasonic.</w:t>
      </w:r>
      <w:r w:rsidRPr="004C3CC6">
        <w:rPr>
          <w:b/>
          <w:bCs/>
        </w:rPr>
        <w:br/>
        <w:t>Si se va a tomar la capacidad de suplido de Signify, yo puedo certificar que mi fábrica también cumple.</w:t>
      </w:r>
      <w:r>
        <w:rPr>
          <w:b/>
          <w:bCs/>
        </w:rPr>
        <w:t xml:space="preserve">  </w:t>
      </w:r>
      <w:r w:rsidRPr="004C3CC6">
        <w:rPr>
          <w:b/>
          <w:bCs/>
        </w:rPr>
        <w:t>Si el tema de Signify es preocupante, ¿puedo cubrirme sobre ese mismo árbol, porque el fabricante es el mismo?”</w:t>
      </w:r>
    </w:p>
    <w:p w14:paraId="6F2A4D95" w14:textId="77777777" w:rsidR="00B476A5" w:rsidRDefault="00B476A5" w:rsidP="00E1521D">
      <w:pPr>
        <w:jc w:val="both"/>
        <w:rPr>
          <w:b/>
          <w:bCs/>
        </w:rPr>
      </w:pPr>
    </w:p>
    <w:p w14:paraId="75BD9C18" w14:textId="3F77BA13" w:rsidR="00D614C4" w:rsidRPr="004C3CC6" w:rsidRDefault="00D614C4" w:rsidP="00E1521D">
      <w:pPr>
        <w:jc w:val="both"/>
      </w:pPr>
      <w:r w:rsidRPr="004C3CC6">
        <w:rPr>
          <w:b/>
          <w:bCs/>
        </w:rPr>
        <w:t>Respuesta:</w:t>
      </w:r>
      <w:r w:rsidRPr="004C3CC6">
        <w:rPr>
          <w:b/>
          <w:bCs/>
        </w:rPr>
        <w:br/>
      </w:r>
      <w:r w:rsidRPr="004C3CC6">
        <w:t>“La asociación entre participantes es un tema individual de cada participante; ustedes pueden decidir cómo se asocian.</w:t>
      </w:r>
      <w:r w:rsidRPr="00277CE5">
        <w:t xml:space="preserve"> </w:t>
      </w:r>
      <w:r w:rsidRPr="004C3CC6">
        <w:t>Lo importante es que, ya sea el fabricante o la experiencia que van a acreditar, esté de acuerdo con los criterios y condiciones establecidos en el pliego.”</w:t>
      </w:r>
    </w:p>
    <w:p w14:paraId="70AC4565" w14:textId="77777777" w:rsidR="00D614C4" w:rsidRDefault="00D614C4" w:rsidP="00E1521D">
      <w:pPr>
        <w:jc w:val="both"/>
        <w:rPr>
          <w:rFonts w:ascii="Cambria" w:hAnsi="Cambria"/>
          <w:b/>
          <w:bCs/>
        </w:rPr>
      </w:pPr>
    </w:p>
    <w:p w14:paraId="4234F393" w14:textId="77777777" w:rsidR="002D1D35" w:rsidRPr="003A3F22" w:rsidRDefault="002D1D35" w:rsidP="00E1521D">
      <w:pPr>
        <w:shd w:val="clear" w:color="auto" w:fill="E8E8E8" w:themeFill="background2"/>
        <w:jc w:val="both"/>
        <w:rPr>
          <w:b/>
          <w:bCs/>
        </w:rPr>
      </w:pPr>
      <w:r w:rsidRPr="00BD7212">
        <w:rPr>
          <w:b/>
          <w:bCs/>
        </w:rPr>
        <w:t>Intervención</w:t>
      </w:r>
      <w:r w:rsidRPr="003A3F22">
        <w:rPr>
          <w:b/>
          <w:bCs/>
        </w:rPr>
        <w:t xml:space="preserve"> 18</w:t>
      </w:r>
      <w:r w:rsidRPr="00BD7212">
        <w:rPr>
          <w:b/>
          <w:bCs/>
        </w:rPr>
        <w:t>:</w:t>
      </w:r>
    </w:p>
    <w:p w14:paraId="04712CAB" w14:textId="77777777" w:rsidR="002D1D35" w:rsidRPr="00BD7212" w:rsidRDefault="002D1D35" w:rsidP="00E1521D">
      <w:pPr>
        <w:shd w:val="clear" w:color="auto" w:fill="E8E8E8" w:themeFill="background2"/>
        <w:jc w:val="both"/>
        <w:rPr>
          <w:b/>
          <w:bCs/>
        </w:rPr>
      </w:pPr>
      <w:r w:rsidRPr="00BD7212">
        <w:rPr>
          <w:b/>
          <w:bCs/>
        </w:rPr>
        <w:t>“En relación con las luminarias con batería, se solicita una configuración de voltaje que podría facilitar la sustracción de las baterías para otros usos.</w:t>
      </w:r>
      <w:r w:rsidRPr="00BD7212">
        <w:rPr>
          <w:b/>
          <w:bCs/>
        </w:rPr>
        <w:br/>
        <w:t>¿Se ha considerado este riesgo desde el punto de vista de seguridad?”</w:t>
      </w:r>
    </w:p>
    <w:p w14:paraId="26FB9B27" w14:textId="77777777" w:rsidR="00B476A5" w:rsidRDefault="00B476A5" w:rsidP="00E1521D">
      <w:pPr>
        <w:jc w:val="both"/>
        <w:rPr>
          <w:b/>
          <w:bCs/>
        </w:rPr>
      </w:pPr>
    </w:p>
    <w:p w14:paraId="04CB3C92" w14:textId="3862255B" w:rsidR="002D1D35" w:rsidRDefault="002D1D35" w:rsidP="00E1521D">
      <w:pPr>
        <w:jc w:val="both"/>
        <w:rPr>
          <w:color w:val="EE0000"/>
        </w:rPr>
      </w:pPr>
      <w:r w:rsidRPr="00BD7212">
        <w:rPr>
          <w:b/>
          <w:bCs/>
        </w:rPr>
        <w:t>Respuesta:</w:t>
      </w:r>
    </w:p>
    <w:p w14:paraId="605F7D84" w14:textId="052A092D" w:rsidR="002D1D35" w:rsidRDefault="00B45840" w:rsidP="00E1521D">
      <w:pPr>
        <w:jc w:val="both"/>
        <w:rPr>
          <w:color w:val="EE0000"/>
        </w:rPr>
      </w:pPr>
      <w:r>
        <w:rPr>
          <w:rFonts w:ascii="Cambria" w:hAnsi="Cambria"/>
          <w:color w:val="275317" w:themeColor="accent6" w:themeShade="80"/>
        </w:rPr>
        <w:t xml:space="preserve">No se considera ninguna configuración de voltaje particular para reducir el riesgo de robos. Se trata de una solución de luminarias compactas instaladas a una altura suficiente para no ser alcanzables con facilidad. </w:t>
      </w:r>
    </w:p>
    <w:p w14:paraId="0F15163A" w14:textId="77777777" w:rsidR="00B45840" w:rsidRDefault="00B45840" w:rsidP="00E1521D">
      <w:pPr>
        <w:jc w:val="both"/>
        <w:rPr>
          <w:color w:val="EE0000"/>
        </w:rPr>
      </w:pPr>
    </w:p>
    <w:p w14:paraId="4F92D60A" w14:textId="77777777" w:rsidR="002D1D35" w:rsidRPr="00E05294" w:rsidRDefault="002D1D35" w:rsidP="00E1521D">
      <w:pPr>
        <w:shd w:val="clear" w:color="auto" w:fill="E8E8E8" w:themeFill="background2"/>
        <w:jc w:val="both"/>
        <w:rPr>
          <w:b/>
          <w:bCs/>
        </w:rPr>
      </w:pPr>
      <w:r w:rsidRPr="00E05294">
        <w:rPr>
          <w:b/>
          <w:bCs/>
        </w:rPr>
        <w:t>Intervención 19:</w:t>
      </w:r>
    </w:p>
    <w:p w14:paraId="4F2A2602" w14:textId="77777777" w:rsidR="002D1D35" w:rsidRPr="00E05294" w:rsidRDefault="002D1D35" w:rsidP="00E1521D">
      <w:pPr>
        <w:shd w:val="clear" w:color="auto" w:fill="E8E8E8" w:themeFill="background2"/>
        <w:jc w:val="both"/>
        <w:rPr>
          <w:b/>
          <w:bCs/>
        </w:rPr>
      </w:pPr>
      <w:r w:rsidRPr="00E05294">
        <w:rPr>
          <w:b/>
          <w:bCs/>
        </w:rPr>
        <w:t xml:space="preserve">“Mi nombre es Julio César Franco, de </w:t>
      </w:r>
      <w:proofErr w:type="spellStart"/>
      <w:r w:rsidRPr="00E05294">
        <w:rPr>
          <w:b/>
          <w:bCs/>
        </w:rPr>
        <w:t>Alutrafic</w:t>
      </w:r>
      <w:proofErr w:type="spellEnd"/>
      <w:r w:rsidRPr="00E05294">
        <w:rPr>
          <w:b/>
          <w:bCs/>
        </w:rPr>
        <w:t xml:space="preserve"> LED, fabricante de luminarias colombiano. Para nosotros es importante aclarar el nivel de aislamiento eléctrico, ya que en los PDTG no se especifica y es crucial en el funcionamiento normal de las luminarias LED.”</w:t>
      </w:r>
    </w:p>
    <w:p w14:paraId="3914B107" w14:textId="77777777" w:rsidR="00B476A5" w:rsidRDefault="00B476A5" w:rsidP="00E1521D">
      <w:pPr>
        <w:jc w:val="both"/>
        <w:rPr>
          <w:b/>
          <w:bCs/>
        </w:rPr>
      </w:pPr>
    </w:p>
    <w:p w14:paraId="1F00F58B" w14:textId="283FF7DD" w:rsidR="002D1D35" w:rsidRPr="00E05294" w:rsidRDefault="002D1D35" w:rsidP="00E1521D">
      <w:pPr>
        <w:jc w:val="both"/>
        <w:rPr>
          <w:b/>
          <w:bCs/>
        </w:rPr>
      </w:pPr>
      <w:r w:rsidRPr="00B476A5">
        <w:rPr>
          <w:b/>
          <w:bCs/>
          <w:highlight w:val="green"/>
        </w:rPr>
        <w:t>Respuesta:</w:t>
      </w:r>
    </w:p>
    <w:p w14:paraId="3F698EAA" w14:textId="6632D52F" w:rsidR="002D1D35" w:rsidRDefault="001A334D" w:rsidP="00E1521D">
      <w:pPr>
        <w:jc w:val="both"/>
        <w:rPr>
          <w:rFonts w:ascii="Cambria" w:hAnsi="Cambria"/>
          <w:color w:val="275317" w:themeColor="accent6" w:themeShade="80"/>
        </w:rPr>
      </w:pPr>
      <w:r w:rsidRPr="00B476A5">
        <w:rPr>
          <w:rFonts w:ascii="Cambria" w:hAnsi="Cambria"/>
          <w:color w:val="275317" w:themeColor="accent6" w:themeShade="80"/>
        </w:rPr>
        <w:t>Es necesario que las luminarias sean de Clase II</w:t>
      </w:r>
      <w:r w:rsidR="00B476A5">
        <w:rPr>
          <w:rFonts w:ascii="Cambria" w:hAnsi="Cambria"/>
          <w:color w:val="275317" w:themeColor="accent6" w:themeShade="80"/>
        </w:rPr>
        <w:t>.</w:t>
      </w:r>
    </w:p>
    <w:p w14:paraId="06605956" w14:textId="15EA6DFE" w:rsidR="001A334D" w:rsidRDefault="001A334D" w:rsidP="00E1521D">
      <w:pPr>
        <w:jc w:val="both"/>
      </w:pPr>
    </w:p>
    <w:p w14:paraId="7470FDCB" w14:textId="77777777" w:rsidR="002D1D35" w:rsidRPr="0044250E" w:rsidRDefault="002D1D35" w:rsidP="00E1521D">
      <w:pPr>
        <w:shd w:val="clear" w:color="auto" w:fill="E8E8E8" w:themeFill="background2"/>
        <w:jc w:val="both"/>
        <w:rPr>
          <w:b/>
          <w:bCs/>
        </w:rPr>
      </w:pPr>
      <w:r w:rsidRPr="0044250E">
        <w:rPr>
          <w:b/>
          <w:bCs/>
        </w:rPr>
        <w:t>Intervención</w:t>
      </w:r>
      <w:r>
        <w:rPr>
          <w:b/>
          <w:bCs/>
        </w:rPr>
        <w:t xml:space="preserve"> 22</w:t>
      </w:r>
      <w:r w:rsidRPr="0044250E">
        <w:rPr>
          <w:b/>
          <w:bCs/>
        </w:rPr>
        <w:t>:</w:t>
      </w:r>
    </w:p>
    <w:p w14:paraId="2DC53FF8" w14:textId="77777777" w:rsidR="002D1D35" w:rsidRPr="005E36AA" w:rsidRDefault="002D1D35" w:rsidP="00E1521D">
      <w:pPr>
        <w:shd w:val="clear" w:color="auto" w:fill="E8E8E8" w:themeFill="background2"/>
        <w:jc w:val="both"/>
        <w:rPr>
          <w:b/>
          <w:bCs/>
        </w:rPr>
      </w:pPr>
      <w:r w:rsidRPr="005E36AA">
        <w:rPr>
          <w:b/>
          <w:bCs/>
        </w:rPr>
        <w:t>“En relación con lo establecido en el documento PDTG para luminarias LED con batería, ¿debe el consumo de energía en modo de emergencia coincidir con el consumo de energía en modo normal?”</w:t>
      </w:r>
    </w:p>
    <w:p w14:paraId="21963218" w14:textId="77777777" w:rsidR="00B476A5" w:rsidRDefault="00B476A5" w:rsidP="00E1521D">
      <w:pPr>
        <w:jc w:val="both"/>
        <w:rPr>
          <w:b/>
          <w:bCs/>
        </w:rPr>
      </w:pPr>
    </w:p>
    <w:p w14:paraId="0C31FAD9" w14:textId="23AA9A23" w:rsidR="002D1D35" w:rsidRPr="00B476A5" w:rsidRDefault="002D1D35" w:rsidP="00E1521D">
      <w:pPr>
        <w:jc w:val="both"/>
        <w:rPr>
          <w:b/>
          <w:bCs/>
        </w:rPr>
      </w:pPr>
      <w:r w:rsidRPr="005E36AA">
        <w:rPr>
          <w:b/>
          <w:bCs/>
        </w:rPr>
        <w:t>Respuesta:</w:t>
      </w:r>
    </w:p>
    <w:p w14:paraId="7B606A7C" w14:textId="2CA74B15" w:rsidR="00B45840" w:rsidRPr="006B76E4" w:rsidRDefault="00B45840" w:rsidP="00E1521D">
      <w:pPr>
        <w:jc w:val="both"/>
        <w:rPr>
          <w:u w:val="single"/>
        </w:rPr>
      </w:pPr>
      <w:r>
        <w:rPr>
          <w:color w:val="275317" w:themeColor="accent6" w:themeShade="80"/>
        </w:rPr>
        <w:t xml:space="preserve">No tiene por qué coincidir siempre con el 100%. Las luminarias con baterías de emergencias cumplirán la función de proporcionar el servicio mínimo de alumbrado frente a cortes del suministro eléctrico. Es por ello que se configuraran para proporcionar </w:t>
      </w:r>
      <w:r>
        <w:rPr>
          <w:color w:val="275317" w:themeColor="accent6" w:themeShade="80"/>
        </w:rPr>
        <w:lastRenderedPageBreak/>
        <w:t>el mayor número de horas de autonomía, dependiendo de la potencia de las luminarias y el régimen de funcionamiento de la misma.</w:t>
      </w:r>
    </w:p>
    <w:p w14:paraId="0B766F4E" w14:textId="2EBE9189" w:rsidR="002D1D35" w:rsidRDefault="002D1D35" w:rsidP="00E1521D">
      <w:pPr>
        <w:jc w:val="both"/>
        <w:rPr>
          <w:color w:val="EE0000"/>
        </w:rPr>
      </w:pPr>
    </w:p>
    <w:p w14:paraId="5FE1FAD3" w14:textId="77777777" w:rsidR="00B45840" w:rsidRDefault="00B45840" w:rsidP="00E1521D">
      <w:pPr>
        <w:jc w:val="both"/>
        <w:rPr>
          <w:color w:val="EE0000"/>
        </w:rPr>
      </w:pPr>
    </w:p>
    <w:p w14:paraId="1BBF138A" w14:textId="77777777" w:rsidR="002D1D35" w:rsidRDefault="002D1D35" w:rsidP="00E1521D">
      <w:pPr>
        <w:shd w:val="clear" w:color="auto" w:fill="E8E8E8" w:themeFill="background2"/>
        <w:jc w:val="both"/>
        <w:rPr>
          <w:b/>
          <w:bCs/>
        </w:rPr>
      </w:pPr>
      <w:r w:rsidRPr="004379A2">
        <w:rPr>
          <w:b/>
          <w:bCs/>
        </w:rPr>
        <w:t>Intervención</w:t>
      </w:r>
      <w:r>
        <w:rPr>
          <w:b/>
          <w:bCs/>
        </w:rPr>
        <w:t xml:space="preserve"> 26</w:t>
      </w:r>
      <w:r w:rsidRPr="004379A2">
        <w:rPr>
          <w:b/>
          <w:bCs/>
        </w:rPr>
        <w:t>:</w:t>
      </w:r>
    </w:p>
    <w:p w14:paraId="0C5D48D6" w14:textId="77777777" w:rsidR="002D1D35" w:rsidRPr="00113708" w:rsidRDefault="002D1D35" w:rsidP="00E1521D">
      <w:pPr>
        <w:shd w:val="clear" w:color="auto" w:fill="E8E8E8" w:themeFill="background2"/>
        <w:jc w:val="both"/>
        <w:rPr>
          <w:b/>
          <w:bCs/>
        </w:rPr>
      </w:pPr>
      <w:r w:rsidRPr="00113708">
        <w:rPr>
          <w:b/>
          <w:bCs/>
        </w:rPr>
        <w:t xml:space="preserve">“El tiempo para obtener una certificación de cielo oscuro (como </w:t>
      </w:r>
      <w:proofErr w:type="spellStart"/>
      <w:r w:rsidRPr="00113708">
        <w:rPr>
          <w:b/>
          <w:bCs/>
        </w:rPr>
        <w:t>DarkSky</w:t>
      </w:r>
      <w:proofErr w:type="spellEnd"/>
      <w:r w:rsidRPr="00113708">
        <w:rPr>
          <w:b/>
          <w:bCs/>
        </w:rPr>
        <w:t xml:space="preserve"> </w:t>
      </w:r>
      <w:proofErr w:type="spellStart"/>
      <w:r w:rsidRPr="00113708">
        <w:rPr>
          <w:b/>
          <w:bCs/>
        </w:rPr>
        <w:t>Approved</w:t>
      </w:r>
      <w:proofErr w:type="spellEnd"/>
      <w:r w:rsidRPr="00113708">
        <w:rPr>
          <w:b/>
          <w:bCs/>
        </w:rPr>
        <w:t xml:space="preserve"> o similares) para productos de iluminación suele oscilar entre 4 y 6 semanas. ¿Sería aceptable presentarla una vez adjudicado el proceso?”</w:t>
      </w:r>
    </w:p>
    <w:p w14:paraId="77A820C2" w14:textId="77777777" w:rsidR="00B476A5" w:rsidRDefault="00B476A5" w:rsidP="00E1521D">
      <w:pPr>
        <w:jc w:val="both"/>
        <w:rPr>
          <w:b/>
          <w:bCs/>
        </w:rPr>
      </w:pPr>
    </w:p>
    <w:p w14:paraId="71BFF9F4" w14:textId="62E7F4D3" w:rsidR="002D1D35" w:rsidRPr="00113708" w:rsidRDefault="002D1D35" w:rsidP="00E1521D">
      <w:pPr>
        <w:jc w:val="both"/>
        <w:rPr>
          <w:b/>
          <w:bCs/>
        </w:rPr>
      </w:pPr>
      <w:r w:rsidRPr="00B476A5">
        <w:rPr>
          <w:b/>
          <w:bCs/>
          <w:highlight w:val="green"/>
        </w:rPr>
        <w:t>Respuesta:</w:t>
      </w:r>
    </w:p>
    <w:p w14:paraId="542B49E7" w14:textId="07FDB814" w:rsidR="002D1D35" w:rsidRDefault="00D9629E" w:rsidP="00E1521D">
      <w:pPr>
        <w:jc w:val="both"/>
      </w:pPr>
      <w:r>
        <w:rPr>
          <w:rFonts w:ascii="Cambria" w:hAnsi="Cambria"/>
          <w:color w:val="275317" w:themeColor="accent6" w:themeShade="80"/>
        </w:rPr>
        <w:t xml:space="preserve">No se considera la certificación </w:t>
      </w:r>
      <w:proofErr w:type="spellStart"/>
      <w:r>
        <w:rPr>
          <w:rFonts w:ascii="Cambria" w:hAnsi="Cambria"/>
          <w:color w:val="275317" w:themeColor="accent6" w:themeShade="80"/>
        </w:rPr>
        <w:t>DarkSky</w:t>
      </w:r>
      <w:proofErr w:type="spellEnd"/>
      <w:r>
        <w:rPr>
          <w:rFonts w:ascii="Cambria" w:hAnsi="Cambria"/>
          <w:color w:val="275317" w:themeColor="accent6" w:themeShade="80"/>
        </w:rPr>
        <w:t xml:space="preserve"> como requisito del producto</w:t>
      </w:r>
      <w:r w:rsidR="00B476A5">
        <w:rPr>
          <w:rFonts w:ascii="Cambria" w:hAnsi="Cambria"/>
          <w:color w:val="275317" w:themeColor="accent6" w:themeShade="80"/>
        </w:rPr>
        <w:t>.</w:t>
      </w:r>
    </w:p>
    <w:p w14:paraId="55679FF0" w14:textId="77777777" w:rsidR="00B45840" w:rsidRPr="00BD7212" w:rsidRDefault="00B45840" w:rsidP="00E1521D">
      <w:pPr>
        <w:jc w:val="both"/>
      </w:pPr>
    </w:p>
    <w:p w14:paraId="4D0A1366" w14:textId="77777777" w:rsidR="00C46932" w:rsidRPr="00B476A5" w:rsidRDefault="00C46932" w:rsidP="00E1521D">
      <w:pPr>
        <w:shd w:val="clear" w:color="auto" w:fill="E8E8E8" w:themeFill="background2"/>
        <w:jc w:val="both"/>
        <w:rPr>
          <w:b/>
          <w:bCs/>
        </w:rPr>
      </w:pPr>
      <w:r w:rsidRPr="00B476A5">
        <w:rPr>
          <w:b/>
          <w:bCs/>
        </w:rPr>
        <w:t>Intervención 28:</w:t>
      </w:r>
    </w:p>
    <w:p w14:paraId="169711FD" w14:textId="77777777" w:rsidR="00C46932" w:rsidRPr="00B476A5" w:rsidRDefault="00C46932" w:rsidP="00E1521D">
      <w:pPr>
        <w:shd w:val="clear" w:color="auto" w:fill="E8E8E8" w:themeFill="background2"/>
        <w:jc w:val="both"/>
        <w:rPr>
          <w:b/>
          <w:bCs/>
        </w:rPr>
      </w:pPr>
      <w:r w:rsidRPr="00B476A5">
        <w:rPr>
          <w:b/>
          <w:bCs/>
        </w:rPr>
        <w:t>“Mi nombre es Luis Borges. Dentro de los requerimientos técnicos se requieren que se cumplan con normativas europeas y norteamericanas simultáneamente. La pregunta es: ¿hay que cumplir con ambas normativas en una única luminaria o es suficiente que se cumpla con la normativa de Estados Unidos o europea o su equivalente?”</w:t>
      </w:r>
    </w:p>
    <w:p w14:paraId="062FFD04" w14:textId="77777777" w:rsidR="00B476A5" w:rsidRDefault="00B476A5" w:rsidP="00E1521D">
      <w:pPr>
        <w:jc w:val="both"/>
        <w:rPr>
          <w:b/>
          <w:bCs/>
        </w:rPr>
      </w:pPr>
    </w:p>
    <w:p w14:paraId="3C99D9E6" w14:textId="53412B89" w:rsidR="00C46932" w:rsidRDefault="00C46932" w:rsidP="00E1521D">
      <w:pPr>
        <w:jc w:val="both"/>
        <w:rPr>
          <w:color w:val="EE0000"/>
        </w:rPr>
      </w:pPr>
      <w:r w:rsidRPr="00B476A5">
        <w:rPr>
          <w:b/>
          <w:bCs/>
          <w:highlight w:val="cyan"/>
        </w:rPr>
        <w:t>Respuesta:</w:t>
      </w:r>
    </w:p>
    <w:p w14:paraId="73C4C219" w14:textId="2A96CA84" w:rsidR="00B45840" w:rsidRPr="009F626B" w:rsidRDefault="00B45840" w:rsidP="00E1521D">
      <w:pPr>
        <w:jc w:val="both"/>
        <w:rPr>
          <w:u w:val="single"/>
        </w:rPr>
      </w:pPr>
      <w:r>
        <w:rPr>
          <w:rFonts w:ascii="Cambria" w:hAnsi="Cambria"/>
          <w:color w:val="275317" w:themeColor="accent6" w:themeShade="80"/>
        </w:rPr>
        <w:t xml:space="preserve">Se consideran </w:t>
      </w:r>
      <w:r w:rsidR="00B476A5">
        <w:rPr>
          <w:rFonts w:ascii="Cambria" w:hAnsi="Cambria"/>
          <w:color w:val="275317" w:themeColor="accent6" w:themeShade="80"/>
        </w:rPr>
        <w:t>válidas</w:t>
      </w:r>
      <w:r>
        <w:rPr>
          <w:rFonts w:ascii="Cambria" w:hAnsi="Cambria"/>
          <w:color w:val="275317" w:themeColor="accent6" w:themeShade="80"/>
        </w:rPr>
        <w:t xml:space="preserve"> las normativas internacionales equivalentes a la normativa ANSI que corresponda en cada caso</w:t>
      </w:r>
      <w:r w:rsidR="00B476A5">
        <w:rPr>
          <w:rFonts w:ascii="Cambria" w:hAnsi="Cambria"/>
          <w:color w:val="275317" w:themeColor="accent6" w:themeShade="80"/>
        </w:rPr>
        <w:t>.</w:t>
      </w:r>
    </w:p>
    <w:p w14:paraId="7450A65F" w14:textId="77777777" w:rsidR="0020756E" w:rsidRDefault="0020756E" w:rsidP="00E1521D">
      <w:pPr>
        <w:jc w:val="both"/>
        <w:rPr>
          <w:color w:val="EE0000"/>
        </w:rPr>
      </w:pPr>
    </w:p>
    <w:p w14:paraId="42E77DD1" w14:textId="77777777" w:rsidR="0020756E" w:rsidRPr="00AC4587" w:rsidRDefault="0020756E" w:rsidP="00E1521D">
      <w:pPr>
        <w:shd w:val="clear" w:color="auto" w:fill="E8E8E8" w:themeFill="background2"/>
        <w:jc w:val="both"/>
        <w:rPr>
          <w:b/>
          <w:bCs/>
        </w:rPr>
      </w:pPr>
      <w:r w:rsidRPr="00BD7212">
        <w:rPr>
          <w:b/>
          <w:bCs/>
        </w:rPr>
        <w:t>Intervención</w:t>
      </w:r>
      <w:r w:rsidRPr="00AC4587">
        <w:rPr>
          <w:b/>
          <w:bCs/>
        </w:rPr>
        <w:t xml:space="preserve"> 29</w:t>
      </w:r>
      <w:r w:rsidRPr="00BD7212">
        <w:rPr>
          <w:b/>
          <w:bCs/>
        </w:rPr>
        <w:t>:</w:t>
      </w:r>
    </w:p>
    <w:p w14:paraId="45D29750" w14:textId="77777777" w:rsidR="0020756E" w:rsidRPr="00D77A3F" w:rsidRDefault="0020756E" w:rsidP="00E1521D">
      <w:pPr>
        <w:shd w:val="clear" w:color="auto" w:fill="E8E8E8" w:themeFill="background2"/>
        <w:jc w:val="both"/>
        <w:rPr>
          <w:b/>
          <w:bCs/>
        </w:rPr>
      </w:pPr>
      <w:r w:rsidRPr="00D77A3F">
        <w:rPr>
          <w:b/>
          <w:bCs/>
        </w:rPr>
        <w:t xml:space="preserve">“En relación con la certificación </w:t>
      </w:r>
      <w:proofErr w:type="spellStart"/>
      <w:r w:rsidRPr="00D77A3F">
        <w:rPr>
          <w:b/>
          <w:bCs/>
        </w:rPr>
        <w:t>DarkSky</w:t>
      </w:r>
      <w:proofErr w:type="spellEnd"/>
      <w:r w:rsidRPr="00D77A3F">
        <w:rPr>
          <w:b/>
          <w:bCs/>
        </w:rPr>
        <w:t>, se señaló que existiría una posible incompatibilidad entre los requisitos de dicha certificación y lo establecido en las fichas técnicas, particularmente en lo relativo al ángulo de inclinación permitido para las luminarias.”</w:t>
      </w:r>
    </w:p>
    <w:p w14:paraId="440E3B79" w14:textId="77777777" w:rsidR="00B476A5" w:rsidRDefault="00B476A5" w:rsidP="00E1521D">
      <w:pPr>
        <w:jc w:val="both"/>
        <w:rPr>
          <w:b/>
          <w:bCs/>
        </w:rPr>
      </w:pPr>
    </w:p>
    <w:p w14:paraId="3B03B07A" w14:textId="75E3ED29" w:rsidR="0020756E" w:rsidRPr="00D77A3F" w:rsidRDefault="0020756E" w:rsidP="00E1521D">
      <w:pPr>
        <w:jc w:val="both"/>
        <w:rPr>
          <w:b/>
          <w:bCs/>
        </w:rPr>
      </w:pPr>
      <w:r w:rsidRPr="00B476A5">
        <w:rPr>
          <w:b/>
          <w:bCs/>
          <w:highlight w:val="green"/>
        </w:rPr>
        <w:t>Respuesta:</w:t>
      </w:r>
    </w:p>
    <w:p w14:paraId="553BF2B2" w14:textId="32240325" w:rsidR="00B45840" w:rsidRDefault="00D9629E" w:rsidP="006B2DD0">
      <w:pPr>
        <w:jc w:val="both"/>
        <w:rPr>
          <w:u w:val="single"/>
        </w:rPr>
      </w:pPr>
      <w:r>
        <w:rPr>
          <w:rFonts w:ascii="Cambria" w:hAnsi="Cambria"/>
          <w:color w:val="275317" w:themeColor="accent6" w:themeShade="80"/>
        </w:rPr>
        <w:t xml:space="preserve">No se considera la certificación </w:t>
      </w:r>
      <w:proofErr w:type="spellStart"/>
      <w:r>
        <w:rPr>
          <w:rFonts w:ascii="Cambria" w:hAnsi="Cambria"/>
          <w:color w:val="275317" w:themeColor="accent6" w:themeShade="80"/>
        </w:rPr>
        <w:t>DarkSky</w:t>
      </w:r>
      <w:proofErr w:type="spellEnd"/>
      <w:r>
        <w:rPr>
          <w:rFonts w:ascii="Cambria" w:hAnsi="Cambria"/>
          <w:color w:val="275317" w:themeColor="accent6" w:themeShade="80"/>
        </w:rPr>
        <w:t xml:space="preserve"> como requisito del producto</w:t>
      </w:r>
      <w:r w:rsidR="00B476A5">
        <w:rPr>
          <w:rFonts w:ascii="Cambria" w:hAnsi="Cambria"/>
          <w:color w:val="275317" w:themeColor="accent6" w:themeShade="80"/>
        </w:rPr>
        <w:t>.</w:t>
      </w:r>
    </w:p>
    <w:p w14:paraId="4F784D57" w14:textId="77777777" w:rsidR="00B45840" w:rsidRDefault="00B45840" w:rsidP="00E1521D">
      <w:pPr>
        <w:jc w:val="both"/>
        <w:rPr>
          <w:color w:val="EE0000"/>
        </w:rPr>
      </w:pPr>
    </w:p>
    <w:p w14:paraId="2BCD95B0" w14:textId="77777777" w:rsidR="0020756E" w:rsidRPr="00B476A5" w:rsidRDefault="0020756E" w:rsidP="00E1521D">
      <w:pPr>
        <w:shd w:val="clear" w:color="auto" w:fill="E8E8E8" w:themeFill="background2"/>
        <w:jc w:val="both"/>
        <w:rPr>
          <w:b/>
          <w:bCs/>
        </w:rPr>
      </w:pPr>
      <w:r w:rsidRPr="00B476A5">
        <w:rPr>
          <w:b/>
          <w:bCs/>
        </w:rPr>
        <w:t>Intervención 30:</w:t>
      </w:r>
    </w:p>
    <w:p w14:paraId="08F44427" w14:textId="77777777" w:rsidR="0020756E" w:rsidRPr="00B476A5" w:rsidRDefault="0020756E" w:rsidP="00E1521D">
      <w:pPr>
        <w:shd w:val="clear" w:color="auto" w:fill="E8E8E8" w:themeFill="background2"/>
        <w:jc w:val="both"/>
        <w:rPr>
          <w:b/>
          <w:bCs/>
        </w:rPr>
      </w:pPr>
      <w:r w:rsidRPr="00B476A5">
        <w:rPr>
          <w:b/>
          <w:bCs/>
        </w:rPr>
        <w:t>“¿Cuál es el área aproximada que se debe considerar en el almacén para resguardar temporalmente las luminarias y materiales retirados?”</w:t>
      </w:r>
    </w:p>
    <w:p w14:paraId="22150575" w14:textId="77777777" w:rsidR="00B476A5" w:rsidRDefault="00B476A5" w:rsidP="00E1521D">
      <w:pPr>
        <w:jc w:val="both"/>
        <w:rPr>
          <w:b/>
          <w:bCs/>
        </w:rPr>
      </w:pPr>
    </w:p>
    <w:p w14:paraId="1DE73D06" w14:textId="435EACB9" w:rsidR="0020756E" w:rsidRDefault="0020756E" w:rsidP="00E1521D">
      <w:pPr>
        <w:jc w:val="both"/>
        <w:rPr>
          <w:color w:val="EE0000"/>
        </w:rPr>
      </w:pPr>
      <w:r w:rsidRPr="00B476A5">
        <w:rPr>
          <w:b/>
          <w:bCs/>
        </w:rPr>
        <w:t>Respuesta:</w:t>
      </w:r>
      <w:r w:rsidRPr="00B476A5">
        <w:rPr>
          <w:b/>
          <w:bCs/>
        </w:rPr>
        <w:br/>
      </w:r>
      <w:r w:rsidRPr="00B476A5">
        <w:rPr>
          <w:color w:val="275317" w:themeColor="accent6" w:themeShade="80"/>
        </w:rPr>
        <w:t>Esta información forma parte de la propuesta técnica que es requerida en el pliego.</w:t>
      </w:r>
      <w:r w:rsidR="0054196C" w:rsidRPr="00B476A5">
        <w:rPr>
          <w:color w:val="275317" w:themeColor="accent6" w:themeShade="80"/>
        </w:rPr>
        <w:t xml:space="preserve"> En el pliego se estipula que la coordinación para el resguardo temporal debe ser coordinado con las EDEs.</w:t>
      </w:r>
    </w:p>
    <w:p w14:paraId="132031E4" w14:textId="77777777" w:rsidR="00DD2F47" w:rsidRDefault="00DD2F47" w:rsidP="00E1521D">
      <w:pPr>
        <w:jc w:val="both"/>
        <w:rPr>
          <w:color w:val="EE0000"/>
        </w:rPr>
      </w:pPr>
    </w:p>
    <w:p w14:paraId="59A2DE72" w14:textId="77777777" w:rsidR="00DD2F47" w:rsidRDefault="00DD2F47" w:rsidP="00E1521D">
      <w:pPr>
        <w:shd w:val="clear" w:color="auto" w:fill="E8E8E8" w:themeFill="background2"/>
        <w:jc w:val="both"/>
        <w:rPr>
          <w:b/>
          <w:bCs/>
        </w:rPr>
      </w:pPr>
      <w:r w:rsidRPr="004379A2">
        <w:rPr>
          <w:b/>
          <w:bCs/>
        </w:rPr>
        <w:t>Intervención</w:t>
      </w:r>
      <w:r>
        <w:rPr>
          <w:b/>
          <w:bCs/>
        </w:rPr>
        <w:t xml:space="preserve"> 31</w:t>
      </w:r>
      <w:r w:rsidRPr="004379A2">
        <w:rPr>
          <w:b/>
          <w:bCs/>
        </w:rPr>
        <w:t>:</w:t>
      </w:r>
    </w:p>
    <w:p w14:paraId="583CA07E" w14:textId="77777777" w:rsidR="00DD2F47" w:rsidRDefault="00DD2F47" w:rsidP="00E1521D">
      <w:pPr>
        <w:shd w:val="clear" w:color="auto" w:fill="E8E8E8" w:themeFill="background2"/>
        <w:jc w:val="both"/>
        <w:rPr>
          <w:b/>
          <w:bCs/>
        </w:rPr>
      </w:pPr>
      <w:r w:rsidRPr="009A3F92">
        <w:rPr>
          <w:b/>
          <w:bCs/>
        </w:rPr>
        <w:t>“Mi nombre es Nelson Millán, de Megaproyectos de Colombia. Teniendo en cuenta que se está solicitando una garantía de 8 años, es importante considerar que los fabricantes de luminarias generalmente condicionan dicha garantía a la existencia de un sistema adecuado de puesta a tierra, ya que la ausencia de este puede generar fallas por descargas atmosféricas y afectar la seguridad de los operadores.</w:t>
      </w:r>
    </w:p>
    <w:p w14:paraId="28E5DCE3" w14:textId="77777777" w:rsidR="00DD2F47" w:rsidRPr="009A3F92" w:rsidRDefault="00DD2F47" w:rsidP="00E1521D">
      <w:pPr>
        <w:shd w:val="clear" w:color="auto" w:fill="E8E8E8" w:themeFill="background2"/>
        <w:jc w:val="both"/>
        <w:rPr>
          <w:b/>
          <w:bCs/>
        </w:rPr>
      </w:pPr>
      <w:r w:rsidRPr="009A3F92">
        <w:rPr>
          <w:b/>
          <w:bCs/>
        </w:rPr>
        <w:t xml:space="preserve">¿Se ha considerado dentro del alcance del proyecto la implementación de un sistema de puesta a tierra que permita respaldar la garantía exigida? Igualmente, no se ve </w:t>
      </w:r>
      <w:r w:rsidRPr="009A3F92">
        <w:rPr>
          <w:b/>
          <w:bCs/>
        </w:rPr>
        <w:lastRenderedPageBreak/>
        <w:t>reflejado en los formularios económicos cómo relacionar los costos que implican el suministro e instalación.”</w:t>
      </w:r>
    </w:p>
    <w:p w14:paraId="23A7BC44" w14:textId="77777777" w:rsidR="00B476A5" w:rsidRDefault="00B476A5" w:rsidP="00E1521D">
      <w:pPr>
        <w:jc w:val="both"/>
        <w:rPr>
          <w:b/>
          <w:bCs/>
        </w:rPr>
      </w:pPr>
    </w:p>
    <w:p w14:paraId="1557C583" w14:textId="4513CCE1" w:rsidR="00DD2F47" w:rsidRPr="009A3F92" w:rsidRDefault="00DD2F47" w:rsidP="00E1521D">
      <w:pPr>
        <w:jc w:val="both"/>
        <w:rPr>
          <w:b/>
          <w:bCs/>
        </w:rPr>
      </w:pPr>
      <w:r w:rsidRPr="00B476A5">
        <w:rPr>
          <w:b/>
          <w:bCs/>
          <w:highlight w:val="green"/>
        </w:rPr>
        <w:t>Respuesta:</w:t>
      </w:r>
    </w:p>
    <w:p w14:paraId="41EDFFC0" w14:textId="55853CE4" w:rsidR="00891530" w:rsidRPr="00B476A5" w:rsidRDefault="00DD2F47" w:rsidP="00E1521D">
      <w:pPr>
        <w:jc w:val="both"/>
        <w:rPr>
          <w:rFonts w:ascii="Cambria" w:hAnsi="Cambria"/>
          <w:color w:val="275317" w:themeColor="accent6" w:themeShade="80"/>
        </w:rPr>
      </w:pPr>
      <w:r w:rsidRPr="00B47572">
        <w:rPr>
          <w:rFonts w:ascii="Cambria" w:hAnsi="Cambria"/>
          <w:color w:val="275317" w:themeColor="accent6" w:themeShade="80"/>
        </w:rPr>
        <w:t>Hay formularios donde se establece el costo del suministro y otros donde se recoge la parte de instalación. Nuestro sistema es sólidamente aterrizado por lo que este problema no está siendo contemplado en este proceso de licitación</w:t>
      </w:r>
      <w:r w:rsidR="006B2DD0" w:rsidRPr="00B47572">
        <w:rPr>
          <w:rFonts w:ascii="Cambria" w:hAnsi="Cambria"/>
          <w:color w:val="275317" w:themeColor="accent6" w:themeShade="80"/>
        </w:rPr>
        <w:t xml:space="preserve">, además las luminarias solicitadas deben ser clase </w:t>
      </w:r>
      <w:r w:rsidR="004E303C">
        <w:rPr>
          <w:rFonts w:ascii="Cambria" w:hAnsi="Cambria"/>
          <w:color w:val="275317" w:themeColor="accent6" w:themeShade="80"/>
        </w:rPr>
        <w:t>II</w:t>
      </w:r>
      <w:r w:rsidRPr="00B47572">
        <w:rPr>
          <w:rFonts w:ascii="Cambria" w:hAnsi="Cambria"/>
          <w:color w:val="275317" w:themeColor="accent6" w:themeShade="80"/>
        </w:rPr>
        <w:t>.</w:t>
      </w:r>
    </w:p>
    <w:p w14:paraId="227F7A6D" w14:textId="77777777" w:rsidR="006E24A7" w:rsidRDefault="006E24A7" w:rsidP="00E1521D">
      <w:pPr>
        <w:jc w:val="both"/>
        <w:rPr>
          <w:color w:val="EE0000"/>
        </w:rPr>
      </w:pPr>
    </w:p>
    <w:p w14:paraId="261FAF4F" w14:textId="77777777" w:rsidR="006E24A7" w:rsidRDefault="006E24A7" w:rsidP="00E1521D">
      <w:pPr>
        <w:shd w:val="clear" w:color="auto" w:fill="E8E8E8" w:themeFill="background2"/>
        <w:jc w:val="both"/>
        <w:rPr>
          <w:b/>
          <w:bCs/>
        </w:rPr>
      </w:pPr>
      <w:r w:rsidRPr="00471AAF">
        <w:rPr>
          <w:b/>
          <w:bCs/>
        </w:rPr>
        <w:t>Intervención</w:t>
      </w:r>
      <w:r>
        <w:rPr>
          <w:b/>
          <w:bCs/>
        </w:rPr>
        <w:t xml:space="preserve"> 33</w:t>
      </w:r>
      <w:r w:rsidRPr="00471AAF">
        <w:rPr>
          <w:b/>
          <w:bCs/>
        </w:rPr>
        <w:t>:</w:t>
      </w:r>
    </w:p>
    <w:p w14:paraId="28952259" w14:textId="77777777" w:rsidR="006E24A7" w:rsidRPr="00B822D7" w:rsidRDefault="006E24A7" w:rsidP="00E1521D">
      <w:pPr>
        <w:shd w:val="clear" w:color="auto" w:fill="E8E8E8" w:themeFill="background2"/>
        <w:jc w:val="both"/>
        <w:rPr>
          <w:b/>
          <w:bCs/>
        </w:rPr>
      </w:pPr>
      <w:r w:rsidRPr="00B822D7">
        <w:rPr>
          <w:b/>
          <w:bCs/>
        </w:rPr>
        <w:t>“Con respecto a los puntos 11 y 12 del documento PDTG para luminarias LED y luminarias LED alimentadas por batería: ¿cuántas muestras deben presentarse por cada potencia nominal?, ¿cuándo está programada la demostración? y ¿cuál es la ubicación designada para la demostración?”</w:t>
      </w:r>
    </w:p>
    <w:p w14:paraId="3D8438BE" w14:textId="77777777" w:rsidR="004E303C" w:rsidRDefault="004E303C" w:rsidP="00E1521D">
      <w:pPr>
        <w:jc w:val="both"/>
        <w:rPr>
          <w:b/>
          <w:bCs/>
        </w:rPr>
      </w:pPr>
    </w:p>
    <w:p w14:paraId="7C537B98" w14:textId="737DD5E9" w:rsidR="006E24A7" w:rsidRPr="00B822D7" w:rsidRDefault="006E24A7" w:rsidP="00E1521D">
      <w:pPr>
        <w:jc w:val="both"/>
        <w:rPr>
          <w:b/>
          <w:bCs/>
        </w:rPr>
      </w:pPr>
      <w:r w:rsidRPr="004E303C">
        <w:rPr>
          <w:b/>
          <w:bCs/>
        </w:rPr>
        <w:t>Respuesta:</w:t>
      </w:r>
    </w:p>
    <w:p w14:paraId="5C6F1573" w14:textId="382DD2DE" w:rsidR="00B45840" w:rsidRDefault="00B45840" w:rsidP="00AE78D8">
      <w:pPr>
        <w:jc w:val="both"/>
        <w:rPr>
          <w:u w:val="single"/>
        </w:rPr>
      </w:pPr>
      <w:r w:rsidRPr="004E303C">
        <w:rPr>
          <w:rFonts w:ascii="Cambria" w:hAnsi="Cambria"/>
          <w:color w:val="275317" w:themeColor="accent6" w:themeShade="80"/>
        </w:rPr>
        <w:t>Las muestras se solicitarán tras la adjudicación parcial y antes de la adjudicación definitiva; para cada lote, la entidad contratante indicará las unidades y características requeridas de los equipos de muestra, otorgando además un plazo suficiente para su entrega.</w:t>
      </w:r>
      <w:r w:rsidR="00AE78D8" w:rsidRPr="004E303C">
        <w:rPr>
          <w:rFonts w:ascii="Cambria" w:hAnsi="Cambria"/>
          <w:color w:val="275317" w:themeColor="accent6" w:themeShade="80"/>
        </w:rPr>
        <w:t xml:space="preserve"> Se entregará una muestra de cada </w:t>
      </w:r>
      <w:r w:rsidR="000B76ED" w:rsidRPr="004E303C">
        <w:rPr>
          <w:rFonts w:ascii="Cambria" w:hAnsi="Cambria"/>
          <w:color w:val="275317" w:themeColor="accent6" w:themeShade="80"/>
        </w:rPr>
        <w:t>potencia</w:t>
      </w:r>
      <w:r w:rsidR="00AE78D8" w:rsidRPr="004E303C">
        <w:rPr>
          <w:rFonts w:ascii="Cambria" w:hAnsi="Cambria"/>
          <w:color w:val="275317" w:themeColor="accent6" w:themeShade="80"/>
        </w:rPr>
        <w:t xml:space="preserve"> ofertada en el plazo de </w:t>
      </w:r>
      <w:r w:rsidR="00927A44" w:rsidRPr="004E303C">
        <w:rPr>
          <w:rFonts w:ascii="Cambria" w:hAnsi="Cambria"/>
          <w:color w:val="275317" w:themeColor="accent6" w:themeShade="80"/>
        </w:rPr>
        <w:t>21 días calendario</w:t>
      </w:r>
      <w:r w:rsidR="00AE78D8" w:rsidRPr="004E303C">
        <w:rPr>
          <w:rFonts w:ascii="Cambria" w:hAnsi="Cambria"/>
          <w:color w:val="275317" w:themeColor="accent6" w:themeShade="80"/>
        </w:rPr>
        <w:t xml:space="preserve"> desde la adjudicación definitiva</w:t>
      </w:r>
      <w:r w:rsidR="00927A44" w:rsidRPr="004E303C">
        <w:rPr>
          <w:rFonts w:ascii="Cambria" w:hAnsi="Cambria"/>
          <w:color w:val="275317" w:themeColor="accent6" w:themeShade="80"/>
        </w:rPr>
        <w:t>.</w:t>
      </w:r>
    </w:p>
    <w:p w14:paraId="52ADBDBB" w14:textId="77777777" w:rsidR="00B45840" w:rsidRDefault="00B45840" w:rsidP="00E1521D">
      <w:pPr>
        <w:jc w:val="both"/>
        <w:rPr>
          <w:color w:val="EE0000"/>
        </w:rPr>
      </w:pPr>
    </w:p>
    <w:p w14:paraId="535340E8" w14:textId="77777777" w:rsidR="006E24A7" w:rsidRDefault="006E24A7" w:rsidP="00E1521D">
      <w:pPr>
        <w:jc w:val="both"/>
        <w:rPr>
          <w:color w:val="EE0000"/>
        </w:rPr>
      </w:pPr>
    </w:p>
    <w:p w14:paraId="797454F5" w14:textId="77777777" w:rsidR="006E24A7" w:rsidRDefault="006E24A7" w:rsidP="00E1521D">
      <w:pPr>
        <w:shd w:val="clear" w:color="auto" w:fill="E8E8E8" w:themeFill="background2"/>
        <w:jc w:val="both"/>
        <w:rPr>
          <w:b/>
          <w:bCs/>
        </w:rPr>
      </w:pPr>
      <w:r w:rsidRPr="00BD7212">
        <w:rPr>
          <w:b/>
          <w:bCs/>
        </w:rPr>
        <w:t>Intervención</w:t>
      </w:r>
      <w:r>
        <w:rPr>
          <w:b/>
          <w:bCs/>
        </w:rPr>
        <w:t xml:space="preserve"> 40</w:t>
      </w:r>
      <w:r w:rsidRPr="00BD7212">
        <w:rPr>
          <w:b/>
          <w:bCs/>
        </w:rPr>
        <w:t>:</w:t>
      </w:r>
    </w:p>
    <w:p w14:paraId="7EEC42FF" w14:textId="77777777" w:rsidR="006E24A7" w:rsidRPr="003E5656" w:rsidRDefault="006E24A7" w:rsidP="00E1521D">
      <w:pPr>
        <w:shd w:val="clear" w:color="auto" w:fill="E8E8E8" w:themeFill="background2"/>
        <w:jc w:val="both"/>
        <w:rPr>
          <w:b/>
          <w:bCs/>
        </w:rPr>
      </w:pPr>
      <w:r w:rsidRPr="003E5656">
        <w:rPr>
          <w:b/>
          <w:bCs/>
        </w:rPr>
        <w:t xml:space="preserve">“En relación con los estudios lumínicos, se indicó que fabricantes de clase mundial ya disponen de estudios </w:t>
      </w:r>
      <w:proofErr w:type="spellStart"/>
      <w:r w:rsidRPr="003E5656">
        <w:rPr>
          <w:b/>
          <w:bCs/>
        </w:rPr>
        <w:t>goniofotométricos</w:t>
      </w:r>
      <w:proofErr w:type="spellEnd"/>
      <w:r w:rsidRPr="003E5656">
        <w:rPr>
          <w:b/>
          <w:bCs/>
        </w:rPr>
        <w:t xml:space="preserve"> certificados (por ejemplo, LM79).</w:t>
      </w:r>
      <w:r>
        <w:rPr>
          <w:b/>
          <w:bCs/>
        </w:rPr>
        <w:t xml:space="preserve"> </w:t>
      </w:r>
      <w:r w:rsidRPr="003E5656">
        <w:rPr>
          <w:b/>
          <w:bCs/>
        </w:rPr>
        <w:t>En ese sentido, se sugiere considerar la posibilidad de utilizar este tipo de estudios como base, en lugar de exigir estudios lumínicos completos, dado que estos últimos pueden requerir varios meses para su elaboración.”</w:t>
      </w:r>
    </w:p>
    <w:p w14:paraId="303B7925" w14:textId="77777777" w:rsidR="004E303C" w:rsidRDefault="004E303C" w:rsidP="00E1521D">
      <w:pPr>
        <w:jc w:val="both"/>
        <w:rPr>
          <w:b/>
          <w:bCs/>
        </w:rPr>
      </w:pPr>
    </w:p>
    <w:p w14:paraId="48D3248D" w14:textId="730F6250" w:rsidR="006E24A7" w:rsidRPr="003E5656" w:rsidRDefault="006E24A7" w:rsidP="00E1521D">
      <w:pPr>
        <w:jc w:val="both"/>
        <w:rPr>
          <w:b/>
          <w:bCs/>
        </w:rPr>
      </w:pPr>
      <w:r w:rsidRPr="004E303C">
        <w:rPr>
          <w:b/>
          <w:bCs/>
          <w:highlight w:val="green"/>
        </w:rPr>
        <w:t>Respuesta:</w:t>
      </w:r>
    </w:p>
    <w:p w14:paraId="729EFC40" w14:textId="445805E9" w:rsidR="004E303C" w:rsidRPr="004E303C" w:rsidRDefault="00891530" w:rsidP="004E303C">
      <w:pPr>
        <w:jc w:val="both"/>
        <w:rPr>
          <w:rFonts w:ascii="Cambria" w:hAnsi="Cambria"/>
          <w:color w:val="275317" w:themeColor="accent6" w:themeShade="80"/>
        </w:rPr>
      </w:pPr>
      <w:r w:rsidRPr="00891530">
        <w:rPr>
          <w:rFonts w:ascii="Cambria" w:hAnsi="Cambria"/>
          <w:color w:val="275317" w:themeColor="accent6" w:themeShade="80"/>
        </w:rPr>
        <w:t xml:space="preserve">Se deberán presentar los estudios </w:t>
      </w:r>
      <w:r w:rsidR="009E672C">
        <w:rPr>
          <w:rFonts w:ascii="Cambria" w:hAnsi="Cambria"/>
          <w:color w:val="275317" w:themeColor="accent6" w:themeShade="80"/>
        </w:rPr>
        <w:t>exigi</w:t>
      </w:r>
      <w:r w:rsidR="00A90311">
        <w:rPr>
          <w:rFonts w:ascii="Cambria" w:hAnsi="Cambria"/>
          <w:color w:val="275317" w:themeColor="accent6" w:themeShade="80"/>
        </w:rPr>
        <w:t>d</w:t>
      </w:r>
      <w:r w:rsidR="009E672C">
        <w:rPr>
          <w:rFonts w:ascii="Cambria" w:hAnsi="Cambria"/>
          <w:color w:val="275317" w:themeColor="accent6" w:themeShade="80"/>
        </w:rPr>
        <w:t>os en los pliegos</w:t>
      </w:r>
      <w:r w:rsidRPr="00891530">
        <w:rPr>
          <w:rFonts w:ascii="Cambria" w:hAnsi="Cambria"/>
          <w:color w:val="275317" w:themeColor="accent6" w:themeShade="80"/>
        </w:rPr>
        <w:t xml:space="preserve">. </w:t>
      </w:r>
      <w:r w:rsidR="004E303C">
        <w:rPr>
          <w:color w:val="275317" w:themeColor="accent6" w:themeShade="80"/>
        </w:rPr>
        <w:t>Harán</w:t>
      </w:r>
      <w:r w:rsidR="004E303C" w:rsidRPr="008672D4">
        <w:rPr>
          <w:color w:val="275317" w:themeColor="accent6" w:themeShade="80"/>
        </w:rPr>
        <w:t xml:space="preserve"> análisis de simulaciones para identificar el muestreo mínimo de cumplimiento. </w:t>
      </w:r>
      <w:r w:rsidR="004E303C">
        <w:rPr>
          <w:color w:val="275317" w:themeColor="accent6" w:themeShade="80"/>
        </w:rPr>
        <w:t xml:space="preserve">Se proporciona </w:t>
      </w:r>
      <w:r w:rsidR="004E303C" w:rsidRPr="00C51FCB">
        <w:rPr>
          <w:color w:val="275317" w:themeColor="accent6" w:themeShade="80"/>
        </w:rPr>
        <w:t>el archivo Excel “TABLA MODELOS LUMÍNICOS”</w:t>
      </w:r>
      <w:r w:rsidR="004E303C">
        <w:rPr>
          <w:color w:val="275317" w:themeColor="accent6" w:themeShade="80"/>
        </w:rPr>
        <w:t xml:space="preserve"> con la geometría de las secciones de cálculo. Asimismo, Se exige el número de luminaria correspondiente a cada lote.</w:t>
      </w:r>
    </w:p>
    <w:p w14:paraId="584014FD" w14:textId="77777777" w:rsidR="004E303C" w:rsidRPr="005E4CD9" w:rsidRDefault="004E303C" w:rsidP="004E303C">
      <w:pPr>
        <w:pStyle w:val="Prrafodelista"/>
        <w:numPr>
          <w:ilvl w:val="0"/>
          <w:numId w:val="3"/>
        </w:numPr>
        <w:jc w:val="both"/>
        <w:rPr>
          <w:color w:val="275317" w:themeColor="accent6" w:themeShade="80"/>
        </w:rPr>
      </w:pPr>
      <w:r w:rsidRPr="005E4CD9">
        <w:rPr>
          <w:color w:val="275317" w:themeColor="accent6" w:themeShade="80"/>
        </w:rPr>
        <w:t xml:space="preserve">EDE SUR </w:t>
      </w:r>
      <w:r>
        <w:rPr>
          <w:color w:val="275317" w:themeColor="accent6" w:themeShade="80"/>
        </w:rPr>
        <w:t xml:space="preserve">- </w:t>
      </w:r>
      <w:r w:rsidRPr="005E4CD9">
        <w:rPr>
          <w:color w:val="275317" w:themeColor="accent6" w:themeShade="80"/>
        </w:rPr>
        <w:t xml:space="preserve">100 </w:t>
      </w:r>
      <w:r>
        <w:rPr>
          <w:color w:val="275317" w:themeColor="accent6" w:themeShade="80"/>
        </w:rPr>
        <w:t xml:space="preserve">secciones </w:t>
      </w:r>
    </w:p>
    <w:p w14:paraId="2D7223EC" w14:textId="77777777" w:rsidR="004E303C" w:rsidRPr="005E4CD9" w:rsidRDefault="004E303C" w:rsidP="004E303C">
      <w:pPr>
        <w:pStyle w:val="Prrafodelista"/>
        <w:numPr>
          <w:ilvl w:val="0"/>
          <w:numId w:val="3"/>
        </w:numPr>
        <w:jc w:val="both"/>
        <w:rPr>
          <w:color w:val="275317" w:themeColor="accent6" w:themeShade="80"/>
        </w:rPr>
      </w:pPr>
      <w:r>
        <w:rPr>
          <w:color w:val="275317" w:themeColor="accent6" w:themeShade="80"/>
        </w:rPr>
        <w:t>EDE NORTE – 100 secciones</w:t>
      </w:r>
    </w:p>
    <w:p w14:paraId="0ED8F1CC" w14:textId="77777777" w:rsidR="004E303C" w:rsidRPr="001B1F0A" w:rsidRDefault="004E303C" w:rsidP="004E303C">
      <w:pPr>
        <w:pStyle w:val="Prrafodelista"/>
        <w:numPr>
          <w:ilvl w:val="0"/>
          <w:numId w:val="3"/>
        </w:numPr>
        <w:jc w:val="both"/>
        <w:rPr>
          <w:b/>
        </w:rPr>
      </w:pPr>
      <w:r>
        <w:rPr>
          <w:color w:val="275317" w:themeColor="accent6" w:themeShade="80"/>
        </w:rPr>
        <w:t>EDE ESTE - 110 secciones</w:t>
      </w:r>
    </w:p>
    <w:p w14:paraId="38781D17" w14:textId="77777777" w:rsidR="004E303C" w:rsidRDefault="004E303C" w:rsidP="00E1521D">
      <w:pPr>
        <w:jc w:val="both"/>
        <w:rPr>
          <w:color w:val="EE0000"/>
        </w:rPr>
      </w:pPr>
    </w:p>
    <w:p w14:paraId="14E1A2B7" w14:textId="77777777" w:rsidR="00296AAE" w:rsidRDefault="00296AAE" w:rsidP="00E1521D">
      <w:pPr>
        <w:shd w:val="clear" w:color="auto" w:fill="E8E8E8" w:themeFill="background2"/>
        <w:jc w:val="both"/>
        <w:rPr>
          <w:b/>
          <w:bCs/>
        </w:rPr>
      </w:pPr>
      <w:r w:rsidRPr="004C3CC6">
        <w:rPr>
          <w:b/>
          <w:bCs/>
        </w:rPr>
        <w:t>Intervención</w:t>
      </w:r>
      <w:r>
        <w:rPr>
          <w:b/>
          <w:bCs/>
        </w:rPr>
        <w:t xml:space="preserve"> 41</w:t>
      </w:r>
      <w:r w:rsidRPr="004C3CC6">
        <w:rPr>
          <w:b/>
          <w:bCs/>
        </w:rPr>
        <w:t>:</w:t>
      </w:r>
    </w:p>
    <w:p w14:paraId="2F2C0B4B" w14:textId="77777777" w:rsidR="00296AAE" w:rsidRPr="00F34989" w:rsidRDefault="00296AAE" w:rsidP="00E1521D">
      <w:pPr>
        <w:shd w:val="clear" w:color="auto" w:fill="E8E8E8" w:themeFill="background2"/>
        <w:jc w:val="both"/>
        <w:rPr>
          <w:b/>
          <w:bCs/>
        </w:rPr>
      </w:pPr>
      <w:r w:rsidRPr="00F34989">
        <w:rPr>
          <w:b/>
          <w:bCs/>
        </w:rPr>
        <w:t>“Las fábricas normalmente concentran sus laboratorios, pruebas y análisis en las potencias que tienen mayor demanda.</w:t>
      </w:r>
      <w:r>
        <w:rPr>
          <w:b/>
          <w:bCs/>
        </w:rPr>
        <w:t xml:space="preserve"> </w:t>
      </w:r>
      <w:r w:rsidRPr="00F34989">
        <w:rPr>
          <w:b/>
          <w:bCs/>
        </w:rPr>
        <w:t>En ese sentido, solicitar ensayos como LM79 o LM80 para potencias bajas —por ejemplo, 30W— podría resultar excesivo, ya que es posible que los fabricantes no dispongan de esos ensayos para dichas configuraciones.”</w:t>
      </w:r>
    </w:p>
    <w:p w14:paraId="47BA13C3" w14:textId="7FE78AEA" w:rsidR="00296AAE" w:rsidRDefault="00296AAE" w:rsidP="00E1521D">
      <w:pPr>
        <w:shd w:val="clear" w:color="auto" w:fill="FFFFFF" w:themeFill="background1"/>
        <w:jc w:val="both"/>
        <w:rPr>
          <w:b/>
          <w:bCs/>
        </w:rPr>
      </w:pPr>
    </w:p>
    <w:p w14:paraId="70C939F3" w14:textId="72C124B9" w:rsidR="004E303C" w:rsidRDefault="004E303C" w:rsidP="00E1521D">
      <w:pPr>
        <w:shd w:val="clear" w:color="auto" w:fill="FFFFFF" w:themeFill="background1"/>
        <w:jc w:val="both"/>
        <w:rPr>
          <w:b/>
          <w:bCs/>
        </w:rPr>
      </w:pPr>
    </w:p>
    <w:p w14:paraId="76AABA60" w14:textId="0EBCE7BE" w:rsidR="004E303C" w:rsidRDefault="004E303C" w:rsidP="00E1521D">
      <w:pPr>
        <w:shd w:val="clear" w:color="auto" w:fill="FFFFFF" w:themeFill="background1"/>
        <w:jc w:val="both"/>
        <w:rPr>
          <w:b/>
          <w:bCs/>
        </w:rPr>
      </w:pPr>
    </w:p>
    <w:p w14:paraId="00132909" w14:textId="77777777" w:rsidR="004E303C" w:rsidRDefault="004E303C" w:rsidP="00E1521D">
      <w:pPr>
        <w:shd w:val="clear" w:color="auto" w:fill="FFFFFF" w:themeFill="background1"/>
        <w:jc w:val="both"/>
        <w:rPr>
          <w:b/>
          <w:bCs/>
        </w:rPr>
      </w:pPr>
    </w:p>
    <w:p w14:paraId="4894FFAC" w14:textId="77777777" w:rsidR="00296AAE" w:rsidRPr="00F34989" w:rsidRDefault="00296AAE" w:rsidP="00E1521D">
      <w:pPr>
        <w:shd w:val="clear" w:color="auto" w:fill="FFFFFF" w:themeFill="background1"/>
        <w:jc w:val="both"/>
        <w:rPr>
          <w:b/>
          <w:bCs/>
        </w:rPr>
      </w:pPr>
      <w:r w:rsidRPr="00F34989">
        <w:rPr>
          <w:b/>
          <w:bCs/>
        </w:rPr>
        <w:lastRenderedPageBreak/>
        <w:t>Respuesta:</w:t>
      </w:r>
    </w:p>
    <w:p w14:paraId="6F0515F2" w14:textId="77777777" w:rsidR="001A334D" w:rsidRPr="00891530" w:rsidRDefault="001A334D" w:rsidP="001A334D">
      <w:pPr>
        <w:jc w:val="both"/>
      </w:pPr>
      <w:r w:rsidRPr="00AE78D8">
        <w:rPr>
          <w:rFonts w:ascii="Cambria" w:hAnsi="Cambria"/>
          <w:color w:val="275317" w:themeColor="accent6" w:themeShade="80"/>
        </w:rPr>
        <w:t>Se solicitarán los certificados para cada modelo de luminaria. Dentro de cada modelo, se deberán aportar los certificados correspondientes a la luminaria de mayor potencia para cada tamaño, así como para cada driver diferente utilizado dentro del mismo</w:t>
      </w:r>
      <w:r>
        <w:rPr>
          <w:rFonts w:ascii="Cambria" w:hAnsi="Cambria"/>
          <w:color w:val="275317" w:themeColor="accent6" w:themeShade="80"/>
        </w:rPr>
        <w:t xml:space="preserve"> tamaño.</w:t>
      </w:r>
    </w:p>
    <w:p w14:paraId="2C2805BD" w14:textId="77777777" w:rsidR="00B45840" w:rsidRDefault="00B45840" w:rsidP="00E1521D">
      <w:pPr>
        <w:shd w:val="clear" w:color="auto" w:fill="FFFFFF" w:themeFill="background1"/>
        <w:jc w:val="both"/>
        <w:rPr>
          <w:color w:val="EE0000"/>
        </w:rPr>
      </w:pPr>
    </w:p>
    <w:p w14:paraId="0FE4E7CD" w14:textId="77777777" w:rsidR="00033770" w:rsidRPr="00AC4587" w:rsidRDefault="00033770" w:rsidP="00E1521D">
      <w:pPr>
        <w:shd w:val="clear" w:color="auto" w:fill="E8E8E8" w:themeFill="background2"/>
        <w:jc w:val="both"/>
        <w:rPr>
          <w:b/>
          <w:bCs/>
        </w:rPr>
      </w:pPr>
      <w:r w:rsidRPr="004C3CC6">
        <w:rPr>
          <w:b/>
          <w:bCs/>
        </w:rPr>
        <w:t>Intervención</w:t>
      </w:r>
      <w:r w:rsidRPr="00AC4587">
        <w:rPr>
          <w:b/>
          <w:bCs/>
        </w:rPr>
        <w:t xml:space="preserve"> 42</w:t>
      </w:r>
      <w:r w:rsidRPr="004C3CC6">
        <w:rPr>
          <w:b/>
          <w:bCs/>
        </w:rPr>
        <w:t>:</w:t>
      </w:r>
    </w:p>
    <w:p w14:paraId="5B9D6290" w14:textId="77777777" w:rsidR="00033770" w:rsidRPr="004C3CC6" w:rsidRDefault="00033770" w:rsidP="00E1521D">
      <w:pPr>
        <w:shd w:val="clear" w:color="auto" w:fill="E8E8E8" w:themeFill="background2"/>
        <w:jc w:val="both"/>
        <w:rPr>
          <w:b/>
          <w:bCs/>
        </w:rPr>
      </w:pPr>
      <w:r w:rsidRPr="004C3CC6">
        <w:rPr>
          <w:b/>
          <w:bCs/>
        </w:rPr>
        <w:t>“En relación con el estudio luminotécnico, las fábricas de clase mundial tienen esos estudios en el momento.</w:t>
      </w:r>
      <w:r>
        <w:rPr>
          <w:b/>
          <w:bCs/>
        </w:rPr>
        <w:t xml:space="preserve"> </w:t>
      </w:r>
      <w:r w:rsidRPr="004C3CC6">
        <w:rPr>
          <w:b/>
          <w:bCs/>
        </w:rPr>
        <w:t xml:space="preserve">En caso de que no lo tengan, se podría bajar a un estudio </w:t>
      </w:r>
      <w:proofErr w:type="spellStart"/>
      <w:r w:rsidRPr="004C3CC6">
        <w:rPr>
          <w:b/>
          <w:bCs/>
        </w:rPr>
        <w:t>goniofotométrico</w:t>
      </w:r>
      <w:proofErr w:type="spellEnd"/>
      <w:r w:rsidRPr="004C3CC6">
        <w:rPr>
          <w:b/>
          <w:bCs/>
        </w:rPr>
        <w:t>, certificado por un laboratorio o por un grupo de ingenieros, como Bureau Veritas.</w:t>
      </w:r>
      <w:r>
        <w:rPr>
          <w:b/>
          <w:bCs/>
        </w:rPr>
        <w:t xml:space="preserve"> </w:t>
      </w:r>
      <w:r w:rsidRPr="004C3CC6">
        <w:rPr>
          <w:b/>
          <w:bCs/>
        </w:rPr>
        <w:t>Eso sería equivalente a algo que toma seis meses, pero que así podría lograrse en pocos días.”</w:t>
      </w:r>
    </w:p>
    <w:p w14:paraId="52084ACA" w14:textId="77777777" w:rsidR="004E303C" w:rsidRDefault="004E303C" w:rsidP="00E1521D">
      <w:pPr>
        <w:jc w:val="both"/>
        <w:rPr>
          <w:b/>
          <w:bCs/>
        </w:rPr>
      </w:pPr>
    </w:p>
    <w:p w14:paraId="3FDB05E7" w14:textId="1F71E2E1" w:rsidR="00033770" w:rsidRDefault="00033770" w:rsidP="00E1521D">
      <w:pPr>
        <w:jc w:val="both"/>
        <w:rPr>
          <w:color w:val="EE0000"/>
        </w:rPr>
      </w:pPr>
      <w:r w:rsidRPr="004C3CC6">
        <w:rPr>
          <w:b/>
          <w:bCs/>
        </w:rPr>
        <w:t>Respuesta:</w:t>
      </w:r>
    </w:p>
    <w:p w14:paraId="6743E93B" w14:textId="77777777" w:rsidR="001A334D" w:rsidRPr="005E4CD9" w:rsidRDefault="001A334D" w:rsidP="001A334D">
      <w:pPr>
        <w:jc w:val="both"/>
        <w:rPr>
          <w:color w:val="275317" w:themeColor="accent6" w:themeShade="80"/>
        </w:rPr>
      </w:pPr>
      <w:r>
        <w:rPr>
          <w:color w:val="275317" w:themeColor="accent6" w:themeShade="80"/>
        </w:rPr>
        <w:t xml:space="preserve">Se proporciona </w:t>
      </w:r>
      <w:r w:rsidRPr="00C51FCB">
        <w:rPr>
          <w:color w:val="275317" w:themeColor="accent6" w:themeShade="80"/>
        </w:rPr>
        <w:t>el archivo Excel “TABLA MODELOS LUMÍNICOS”</w:t>
      </w:r>
      <w:r>
        <w:rPr>
          <w:color w:val="275317" w:themeColor="accent6" w:themeShade="80"/>
        </w:rPr>
        <w:t xml:space="preserve"> con la geometría de las secciones de cálculo. Asimismo, Se exige el número de luminaria correspondiente a cada lote.</w:t>
      </w:r>
    </w:p>
    <w:p w14:paraId="33577119" w14:textId="77777777" w:rsidR="001A334D" w:rsidRPr="005E4CD9" w:rsidRDefault="001A334D" w:rsidP="001A334D">
      <w:pPr>
        <w:pStyle w:val="Prrafodelista"/>
        <w:numPr>
          <w:ilvl w:val="0"/>
          <w:numId w:val="3"/>
        </w:numPr>
        <w:jc w:val="both"/>
        <w:rPr>
          <w:color w:val="275317" w:themeColor="accent6" w:themeShade="80"/>
        </w:rPr>
      </w:pPr>
      <w:r w:rsidRPr="005E4CD9">
        <w:rPr>
          <w:color w:val="275317" w:themeColor="accent6" w:themeShade="80"/>
        </w:rPr>
        <w:t xml:space="preserve">EDE SUR </w:t>
      </w:r>
      <w:r>
        <w:rPr>
          <w:color w:val="275317" w:themeColor="accent6" w:themeShade="80"/>
        </w:rPr>
        <w:t xml:space="preserve">- </w:t>
      </w:r>
      <w:r w:rsidRPr="005E4CD9">
        <w:rPr>
          <w:color w:val="275317" w:themeColor="accent6" w:themeShade="80"/>
        </w:rPr>
        <w:t xml:space="preserve">100 </w:t>
      </w:r>
      <w:r>
        <w:rPr>
          <w:color w:val="275317" w:themeColor="accent6" w:themeShade="80"/>
        </w:rPr>
        <w:t xml:space="preserve">secciones </w:t>
      </w:r>
    </w:p>
    <w:p w14:paraId="3C9A9ECE" w14:textId="77777777" w:rsidR="001A334D" w:rsidRPr="005E4CD9" w:rsidRDefault="001A334D" w:rsidP="001A334D">
      <w:pPr>
        <w:pStyle w:val="Prrafodelista"/>
        <w:numPr>
          <w:ilvl w:val="0"/>
          <w:numId w:val="3"/>
        </w:numPr>
        <w:jc w:val="both"/>
        <w:rPr>
          <w:color w:val="275317" w:themeColor="accent6" w:themeShade="80"/>
        </w:rPr>
      </w:pPr>
      <w:r>
        <w:rPr>
          <w:color w:val="275317" w:themeColor="accent6" w:themeShade="80"/>
        </w:rPr>
        <w:t>EDE NORTE – 100 secciones</w:t>
      </w:r>
    </w:p>
    <w:p w14:paraId="12CB0CB2" w14:textId="77777777" w:rsidR="001A334D" w:rsidRPr="005E4CD9" w:rsidRDefault="001A334D" w:rsidP="001A334D">
      <w:pPr>
        <w:pStyle w:val="Prrafodelista"/>
        <w:numPr>
          <w:ilvl w:val="0"/>
          <w:numId w:val="3"/>
        </w:numPr>
        <w:jc w:val="both"/>
        <w:rPr>
          <w:b/>
        </w:rPr>
      </w:pPr>
      <w:r>
        <w:rPr>
          <w:color w:val="275317" w:themeColor="accent6" w:themeShade="80"/>
        </w:rPr>
        <w:t>EDE ESTE - 110 secciones</w:t>
      </w:r>
    </w:p>
    <w:p w14:paraId="650D792E" w14:textId="77777777" w:rsidR="00033770" w:rsidRDefault="00033770" w:rsidP="00E1521D">
      <w:pPr>
        <w:jc w:val="both"/>
        <w:rPr>
          <w:color w:val="EE0000"/>
        </w:rPr>
      </w:pPr>
    </w:p>
    <w:p w14:paraId="32C0A9F5" w14:textId="77777777" w:rsidR="00033770" w:rsidRDefault="00033770" w:rsidP="00E1521D">
      <w:pPr>
        <w:shd w:val="clear" w:color="auto" w:fill="E8E8E8" w:themeFill="background2"/>
        <w:jc w:val="both"/>
        <w:rPr>
          <w:b/>
          <w:bCs/>
        </w:rPr>
      </w:pPr>
      <w:r w:rsidRPr="00BD7212">
        <w:rPr>
          <w:b/>
          <w:bCs/>
        </w:rPr>
        <w:t>Intervención</w:t>
      </w:r>
      <w:r>
        <w:rPr>
          <w:b/>
          <w:bCs/>
        </w:rPr>
        <w:t xml:space="preserve"> 43</w:t>
      </w:r>
      <w:r w:rsidRPr="00BD7212">
        <w:rPr>
          <w:b/>
          <w:bCs/>
        </w:rPr>
        <w:t>:</w:t>
      </w:r>
    </w:p>
    <w:p w14:paraId="2444E643" w14:textId="77777777" w:rsidR="00033770" w:rsidRPr="00BD7212" w:rsidRDefault="00033770" w:rsidP="00E1521D">
      <w:pPr>
        <w:shd w:val="clear" w:color="auto" w:fill="E8E8E8" w:themeFill="background2"/>
        <w:jc w:val="both"/>
        <w:rPr>
          <w:b/>
          <w:bCs/>
        </w:rPr>
      </w:pPr>
      <w:r w:rsidRPr="00BD7212">
        <w:rPr>
          <w:b/>
          <w:bCs/>
        </w:rPr>
        <w:t>“Sobre la segunda licitación de telegestión:</w:t>
      </w:r>
      <w:r>
        <w:rPr>
          <w:b/>
          <w:bCs/>
        </w:rPr>
        <w:t xml:space="preserve"> </w:t>
      </w:r>
      <w:r w:rsidRPr="00BD7212">
        <w:rPr>
          <w:b/>
          <w:bCs/>
        </w:rPr>
        <w:t>aunque se ha indicado que no es vinculante, técnicamente sí lo es, ya que si se instalan luminarias con ciertas configuraciones (por ejemplo, receptáculos de 7 pines), esto puede limitar la compatibilidad con el sistema de telegestión en la fase posterior.”</w:t>
      </w:r>
    </w:p>
    <w:p w14:paraId="42CD4CFF" w14:textId="77777777" w:rsidR="004E303C" w:rsidRDefault="004E303C" w:rsidP="00E1521D">
      <w:pPr>
        <w:jc w:val="both"/>
        <w:rPr>
          <w:b/>
          <w:bCs/>
        </w:rPr>
      </w:pPr>
    </w:p>
    <w:p w14:paraId="4F2FE578" w14:textId="77777777" w:rsidR="004E303C" w:rsidRPr="00891530" w:rsidRDefault="004E303C" w:rsidP="004E303C">
      <w:pPr>
        <w:jc w:val="both"/>
        <w:rPr>
          <w:b/>
          <w:bCs/>
        </w:rPr>
      </w:pPr>
      <w:r w:rsidRPr="004E303C">
        <w:rPr>
          <w:b/>
          <w:bCs/>
          <w:highlight w:val="green"/>
        </w:rPr>
        <w:t>Respuesta:</w:t>
      </w:r>
    </w:p>
    <w:p w14:paraId="7B83071B" w14:textId="74AF8131" w:rsidR="004E303C" w:rsidRPr="006F3D9F" w:rsidRDefault="004E303C" w:rsidP="004E303C">
      <w:pPr>
        <w:jc w:val="both"/>
        <w:rPr>
          <w:rFonts w:ascii="Cambria" w:hAnsi="Cambria"/>
          <w:color w:val="275317" w:themeColor="accent6" w:themeShade="80"/>
        </w:rPr>
      </w:pPr>
      <w:r w:rsidRPr="00D65C20">
        <w:rPr>
          <w:rFonts w:ascii="Cambria" w:hAnsi="Cambria"/>
          <w:color w:val="275317" w:themeColor="accent6" w:themeShade="80"/>
        </w:rPr>
        <w:t>Todas las luminarias debe</w:t>
      </w:r>
      <w:r>
        <w:rPr>
          <w:rFonts w:ascii="Cambria" w:hAnsi="Cambria"/>
          <w:color w:val="275317" w:themeColor="accent6" w:themeShade="80"/>
        </w:rPr>
        <w:t>n</w:t>
      </w:r>
      <w:r w:rsidRPr="00D65C20">
        <w:rPr>
          <w:rFonts w:ascii="Cambria" w:hAnsi="Cambria"/>
          <w:color w:val="275317" w:themeColor="accent6" w:themeShade="80"/>
        </w:rPr>
        <w:t xml:space="preserve"> </w:t>
      </w:r>
      <w:r>
        <w:rPr>
          <w:rFonts w:ascii="Cambria" w:hAnsi="Cambria"/>
          <w:color w:val="275317" w:themeColor="accent6" w:themeShade="80"/>
        </w:rPr>
        <w:t>incluir la base para nodo</w:t>
      </w:r>
      <w:r w:rsidRPr="00D65C20">
        <w:rPr>
          <w:rFonts w:ascii="Cambria" w:hAnsi="Cambria"/>
          <w:color w:val="275317" w:themeColor="accent6" w:themeShade="80"/>
        </w:rPr>
        <w:t xml:space="preserve"> NEMA 7 pines</w:t>
      </w:r>
      <w:r>
        <w:rPr>
          <w:rFonts w:ascii="Cambria" w:hAnsi="Cambria"/>
          <w:color w:val="275317" w:themeColor="accent6" w:themeShade="80"/>
        </w:rPr>
        <w:t xml:space="preserve"> y </w:t>
      </w:r>
      <w:r w:rsidR="008E18DC">
        <w:rPr>
          <w:rFonts w:ascii="Cambria" w:hAnsi="Cambria"/>
          <w:color w:val="275317" w:themeColor="accent6" w:themeShade="80"/>
        </w:rPr>
        <w:t xml:space="preserve">estará </w:t>
      </w:r>
      <w:r>
        <w:rPr>
          <w:rFonts w:ascii="Cambria" w:hAnsi="Cambria"/>
          <w:color w:val="275317" w:themeColor="accent6" w:themeShade="80"/>
        </w:rPr>
        <w:t>prevista en los pliegos de condiciones del proceso.</w:t>
      </w:r>
    </w:p>
    <w:p w14:paraId="1C29494C" w14:textId="77777777" w:rsidR="00033770" w:rsidRDefault="00033770" w:rsidP="00E1521D">
      <w:pPr>
        <w:jc w:val="both"/>
        <w:rPr>
          <w:color w:val="EE0000"/>
        </w:rPr>
      </w:pPr>
    </w:p>
    <w:p w14:paraId="57D67D8B" w14:textId="77777777" w:rsidR="00033770" w:rsidRDefault="00033770" w:rsidP="00E1521D">
      <w:pPr>
        <w:shd w:val="clear" w:color="auto" w:fill="E8E8E8" w:themeFill="background2"/>
        <w:jc w:val="both"/>
        <w:rPr>
          <w:b/>
          <w:bCs/>
        </w:rPr>
      </w:pPr>
      <w:r w:rsidRPr="00BD7212">
        <w:rPr>
          <w:b/>
          <w:bCs/>
        </w:rPr>
        <w:t>Intervención</w:t>
      </w:r>
      <w:r>
        <w:rPr>
          <w:b/>
          <w:bCs/>
        </w:rPr>
        <w:t xml:space="preserve"> 44</w:t>
      </w:r>
      <w:r w:rsidRPr="00BD7212">
        <w:rPr>
          <w:b/>
          <w:bCs/>
        </w:rPr>
        <w:t>:</w:t>
      </w:r>
    </w:p>
    <w:p w14:paraId="5A9B2E09" w14:textId="77777777" w:rsidR="00033770" w:rsidRPr="00ED4501" w:rsidRDefault="00033770" w:rsidP="00E1521D">
      <w:pPr>
        <w:shd w:val="clear" w:color="auto" w:fill="E8E8E8" w:themeFill="background2"/>
        <w:jc w:val="both"/>
        <w:rPr>
          <w:b/>
          <w:bCs/>
        </w:rPr>
      </w:pPr>
      <w:r w:rsidRPr="00ED4501">
        <w:rPr>
          <w:b/>
          <w:bCs/>
        </w:rPr>
        <w:t xml:space="preserve">“Considerando la futura licitación de telegestión, se sugiere que las luminarias incluyan drivers </w:t>
      </w:r>
      <w:proofErr w:type="spellStart"/>
      <w:r w:rsidRPr="00ED4501">
        <w:rPr>
          <w:b/>
          <w:bCs/>
        </w:rPr>
        <w:t>dimizables</w:t>
      </w:r>
      <w:proofErr w:type="spellEnd"/>
      <w:r w:rsidRPr="00ED4501">
        <w:rPr>
          <w:b/>
          <w:bCs/>
        </w:rPr>
        <w:t xml:space="preserve"> y que sean compatibles con distintos sistemas de telegestión, a fin de evitar incompatibilidades y riesgos de obsolescencia en fases posteriores del proyecto.”</w:t>
      </w:r>
    </w:p>
    <w:p w14:paraId="11D73C3D" w14:textId="77777777" w:rsidR="004E303C" w:rsidRDefault="004E303C" w:rsidP="00E1521D">
      <w:pPr>
        <w:jc w:val="both"/>
        <w:rPr>
          <w:b/>
          <w:bCs/>
        </w:rPr>
      </w:pPr>
    </w:p>
    <w:p w14:paraId="0E4208BB" w14:textId="611F88FD" w:rsidR="00033770" w:rsidRPr="00ED4501" w:rsidRDefault="00033770" w:rsidP="00E1521D">
      <w:pPr>
        <w:jc w:val="both"/>
        <w:rPr>
          <w:b/>
          <w:bCs/>
        </w:rPr>
      </w:pPr>
      <w:r w:rsidRPr="008E18DC">
        <w:rPr>
          <w:b/>
          <w:bCs/>
          <w:highlight w:val="green"/>
        </w:rPr>
        <w:t>Respuesta:</w:t>
      </w:r>
    </w:p>
    <w:p w14:paraId="55D39CF9" w14:textId="77777777" w:rsidR="008E18DC" w:rsidRPr="00F539B2" w:rsidRDefault="008E18DC" w:rsidP="008E18DC">
      <w:pPr>
        <w:jc w:val="both"/>
        <w:rPr>
          <w:rFonts w:ascii="Cambria" w:hAnsi="Cambria"/>
          <w:color w:val="275317" w:themeColor="accent6" w:themeShade="80"/>
        </w:rPr>
      </w:pPr>
      <w:r>
        <w:rPr>
          <w:rFonts w:ascii="Cambria" w:hAnsi="Cambria"/>
          <w:color w:val="275317" w:themeColor="accent6" w:themeShade="80"/>
        </w:rPr>
        <w:t>Los drivers deberán ser regulables, esta característica estará prevista en la PDGT</w:t>
      </w:r>
      <w:r w:rsidRPr="00F539B2">
        <w:rPr>
          <w:rFonts w:ascii="Cambria" w:hAnsi="Cambria"/>
          <w:color w:val="275317" w:themeColor="accent6" w:themeShade="80"/>
        </w:rPr>
        <w:t>.</w:t>
      </w:r>
    </w:p>
    <w:p w14:paraId="33665BCB" w14:textId="77777777" w:rsidR="00B45840" w:rsidRDefault="00B45840" w:rsidP="00E1521D">
      <w:pPr>
        <w:jc w:val="both"/>
        <w:rPr>
          <w:color w:val="EE0000"/>
        </w:rPr>
      </w:pPr>
    </w:p>
    <w:p w14:paraId="3E120674" w14:textId="77777777" w:rsidR="00FA55B4" w:rsidRDefault="00FA55B4" w:rsidP="00E1521D">
      <w:pPr>
        <w:shd w:val="clear" w:color="auto" w:fill="E8E8E8" w:themeFill="background2"/>
        <w:jc w:val="both"/>
        <w:rPr>
          <w:b/>
          <w:bCs/>
        </w:rPr>
      </w:pPr>
      <w:r w:rsidRPr="00753969">
        <w:rPr>
          <w:b/>
          <w:bCs/>
        </w:rPr>
        <w:t>Intervención</w:t>
      </w:r>
      <w:r>
        <w:rPr>
          <w:b/>
          <w:bCs/>
        </w:rPr>
        <w:t xml:space="preserve"> 48</w:t>
      </w:r>
      <w:r w:rsidRPr="00753969">
        <w:rPr>
          <w:b/>
          <w:bCs/>
        </w:rPr>
        <w:t>:</w:t>
      </w:r>
    </w:p>
    <w:p w14:paraId="548E6F26" w14:textId="77777777" w:rsidR="00FA55B4" w:rsidRPr="00930411" w:rsidRDefault="00FA55B4" w:rsidP="00E1521D">
      <w:pPr>
        <w:shd w:val="clear" w:color="auto" w:fill="E8E8E8" w:themeFill="background2"/>
        <w:jc w:val="both"/>
        <w:rPr>
          <w:b/>
          <w:bCs/>
        </w:rPr>
      </w:pPr>
      <w:r w:rsidRPr="00930411">
        <w:rPr>
          <w:b/>
          <w:bCs/>
        </w:rPr>
        <w:t>“Mi nombre es Jorge Alemán. En relación con el requisito de las 250 mil luminarias, en el pliego se hace referencia a ‘ciudad/red’.</w:t>
      </w:r>
      <w:r>
        <w:rPr>
          <w:b/>
          <w:bCs/>
        </w:rPr>
        <w:t xml:space="preserve"> </w:t>
      </w:r>
      <w:r w:rsidRPr="00930411">
        <w:rPr>
          <w:b/>
          <w:bCs/>
        </w:rPr>
        <w:t>La consulta es cómo debe interpretarse ese concepto, es decir, si se refiere a una ciudad como unidad territorial o a una red de alumbrado, independientemente de su delimitación geográfica.”</w:t>
      </w:r>
    </w:p>
    <w:p w14:paraId="27A5BD22" w14:textId="77777777" w:rsidR="008E18DC" w:rsidRDefault="008E18DC" w:rsidP="00E1521D">
      <w:pPr>
        <w:jc w:val="both"/>
        <w:rPr>
          <w:b/>
          <w:bCs/>
        </w:rPr>
      </w:pPr>
    </w:p>
    <w:p w14:paraId="774AEAEE" w14:textId="08DD2A20" w:rsidR="00FA55B4" w:rsidRPr="00930411" w:rsidRDefault="00FA55B4" w:rsidP="00E1521D">
      <w:pPr>
        <w:jc w:val="both"/>
        <w:rPr>
          <w:b/>
          <w:bCs/>
        </w:rPr>
      </w:pPr>
      <w:r w:rsidRPr="00930411">
        <w:rPr>
          <w:b/>
          <w:bCs/>
        </w:rPr>
        <w:t>Respuesta:</w:t>
      </w:r>
    </w:p>
    <w:p w14:paraId="10239C68" w14:textId="2380443F" w:rsidR="00FA55B4" w:rsidRPr="008E18DC" w:rsidRDefault="00FA55B4" w:rsidP="00E1521D">
      <w:pPr>
        <w:jc w:val="both"/>
        <w:rPr>
          <w:rFonts w:ascii="Cambria" w:hAnsi="Cambria"/>
          <w:color w:val="275317" w:themeColor="accent6" w:themeShade="80"/>
        </w:rPr>
      </w:pPr>
      <w:r w:rsidRPr="008E18DC">
        <w:rPr>
          <w:rFonts w:ascii="Cambria" w:hAnsi="Cambria"/>
          <w:color w:val="275317" w:themeColor="accent6" w:themeShade="80"/>
        </w:rPr>
        <w:t xml:space="preserve">La acreditación de la experiencia deberá realizarse conforme a lo establecido en el pliego de condiciones. El término ‘ciudad o red’ debe interpretarse en el contexto de </w:t>
      </w:r>
      <w:r w:rsidRPr="008E18DC">
        <w:rPr>
          <w:rFonts w:ascii="Cambria" w:hAnsi="Cambria"/>
          <w:color w:val="275317" w:themeColor="accent6" w:themeShade="80"/>
        </w:rPr>
        <w:lastRenderedPageBreak/>
        <w:t>los proyectos ejecutados indistintamente de si trate de una intervención individual o varias acumuladas en diferentes ubicaciones geográficas.</w:t>
      </w:r>
      <w:r w:rsidR="008E18DC">
        <w:rPr>
          <w:rFonts w:ascii="Cambria" w:hAnsi="Cambria"/>
          <w:color w:val="275317" w:themeColor="accent6" w:themeShade="80"/>
        </w:rPr>
        <w:t xml:space="preserve"> </w:t>
      </w:r>
      <w:r w:rsidR="008E18DC" w:rsidRPr="008E18DC">
        <w:rPr>
          <w:rFonts w:ascii="Cambria" w:hAnsi="Cambria"/>
          <w:color w:val="275317" w:themeColor="accent6" w:themeShade="80"/>
          <w:highlight w:val="yellow"/>
        </w:rPr>
        <w:t xml:space="preserve">(valorar por el coordinador general de </w:t>
      </w:r>
      <w:proofErr w:type="spellStart"/>
      <w:r w:rsidR="008E18DC" w:rsidRPr="008E18DC">
        <w:rPr>
          <w:rFonts w:ascii="Cambria" w:hAnsi="Cambria"/>
          <w:color w:val="275317" w:themeColor="accent6" w:themeShade="80"/>
          <w:highlight w:val="yellow"/>
        </w:rPr>
        <w:t>uep</w:t>
      </w:r>
      <w:proofErr w:type="spellEnd"/>
      <w:r w:rsidR="008E18DC" w:rsidRPr="008E18DC">
        <w:rPr>
          <w:rFonts w:ascii="Cambria" w:hAnsi="Cambria"/>
          <w:color w:val="275317" w:themeColor="accent6" w:themeShade="80"/>
          <w:highlight w:val="yellow"/>
        </w:rPr>
        <w:t>).</w:t>
      </w:r>
    </w:p>
    <w:p w14:paraId="0C47555B" w14:textId="77777777" w:rsidR="00A07CEE" w:rsidRDefault="00A07CEE" w:rsidP="00E1521D">
      <w:pPr>
        <w:jc w:val="both"/>
        <w:rPr>
          <w:color w:val="EE0000"/>
        </w:rPr>
      </w:pPr>
    </w:p>
    <w:p w14:paraId="15E64B38" w14:textId="77777777" w:rsidR="00A07CEE" w:rsidRDefault="00A07CEE" w:rsidP="00E1521D">
      <w:pPr>
        <w:shd w:val="clear" w:color="auto" w:fill="E8E8E8" w:themeFill="background2"/>
        <w:jc w:val="both"/>
        <w:rPr>
          <w:b/>
          <w:bCs/>
        </w:rPr>
      </w:pPr>
      <w:r w:rsidRPr="00BD7212">
        <w:rPr>
          <w:b/>
          <w:bCs/>
        </w:rPr>
        <w:t>Intervención</w:t>
      </w:r>
      <w:r>
        <w:rPr>
          <w:b/>
          <w:bCs/>
        </w:rPr>
        <w:t xml:space="preserve"> 52</w:t>
      </w:r>
      <w:r w:rsidRPr="00BD7212">
        <w:rPr>
          <w:b/>
          <w:bCs/>
        </w:rPr>
        <w:t>:</w:t>
      </w:r>
    </w:p>
    <w:p w14:paraId="3EE05BC4" w14:textId="77777777" w:rsidR="00A07CEE" w:rsidRPr="00B643A0" w:rsidRDefault="00A07CEE" w:rsidP="00E1521D">
      <w:pPr>
        <w:shd w:val="clear" w:color="auto" w:fill="E8E8E8" w:themeFill="background2"/>
        <w:jc w:val="both"/>
        <w:rPr>
          <w:b/>
          <w:bCs/>
        </w:rPr>
      </w:pPr>
      <w:r w:rsidRPr="00B643A0">
        <w:rPr>
          <w:b/>
          <w:bCs/>
        </w:rPr>
        <w:t>“Se establece un CCT de 3000K conforme a la normativa de la SIE; sin embargo, para ciertas zonas —particularmente aquellas con problemas de seguridad— se considera que un CCT de 4000K podría ser más adecuado.</w:t>
      </w:r>
      <w:r>
        <w:rPr>
          <w:b/>
          <w:bCs/>
        </w:rPr>
        <w:t xml:space="preserve">  </w:t>
      </w:r>
      <w:r w:rsidRPr="00B643A0">
        <w:rPr>
          <w:b/>
          <w:bCs/>
        </w:rPr>
        <w:t>Adicionalmente, se observa que se exige una eficiencia mínima de 150 lm/W, lo cual, en combinación con un CCT de 3000K, no resulta técnicamente alcanzable con las tecnologías disponibles.</w:t>
      </w:r>
      <w:r>
        <w:rPr>
          <w:b/>
          <w:bCs/>
        </w:rPr>
        <w:t xml:space="preserve"> </w:t>
      </w:r>
      <w:r w:rsidRPr="00B643A0">
        <w:rPr>
          <w:b/>
          <w:bCs/>
        </w:rPr>
        <w:t>En ese sentido, se sugiere revisar estos parámetros, ya sea ajustando el CCT o la eficiencia requerida.”</w:t>
      </w:r>
    </w:p>
    <w:p w14:paraId="208E0C84" w14:textId="77777777" w:rsidR="008E18DC" w:rsidRDefault="008E18DC" w:rsidP="00E1521D">
      <w:pPr>
        <w:jc w:val="both"/>
        <w:rPr>
          <w:b/>
          <w:bCs/>
        </w:rPr>
      </w:pPr>
    </w:p>
    <w:p w14:paraId="402D3F6D" w14:textId="5F14159D" w:rsidR="00A07CEE" w:rsidRPr="00B643A0" w:rsidRDefault="00A07CEE" w:rsidP="00E1521D">
      <w:pPr>
        <w:jc w:val="both"/>
        <w:rPr>
          <w:b/>
          <w:bCs/>
        </w:rPr>
      </w:pPr>
      <w:r w:rsidRPr="00B643A0">
        <w:rPr>
          <w:b/>
          <w:bCs/>
        </w:rPr>
        <w:t>Respuesta:</w:t>
      </w:r>
    </w:p>
    <w:p w14:paraId="1805143E" w14:textId="55FB2AE1" w:rsidR="00A07CEE" w:rsidRPr="00CA482A" w:rsidRDefault="008A0EDC" w:rsidP="00E1521D">
      <w:pPr>
        <w:jc w:val="both"/>
        <w:rPr>
          <w:rFonts w:ascii="Cambria" w:hAnsi="Cambria"/>
          <w:color w:val="275317" w:themeColor="accent6" w:themeShade="80"/>
        </w:rPr>
      </w:pPr>
      <w:r w:rsidRPr="00CA482A">
        <w:rPr>
          <w:rFonts w:ascii="Cambria" w:hAnsi="Cambria"/>
          <w:color w:val="275317" w:themeColor="accent6" w:themeShade="80"/>
        </w:rPr>
        <w:t>Existen luminarias con las que es posible alcanzar 150 lm/W con un CCT de 3000 k.</w:t>
      </w:r>
    </w:p>
    <w:p w14:paraId="05411B01" w14:textId="77777777" w:rsidR="00891530" w:rsidRDefault="00891530" w:rsidP="00E1521D">
      <w:pPr>
        <w:jc w:val="both"/>
        <w:rPr>
          <w:color w:val="EE0000"/>
        </w:rPr>
      </w:pPr>
    </w:p>
    <w:p w14:paraId="1F9BE42B" w14:textId="77777777" w:rsidR="00F55917" w:rsidRDefault="00F55917" w:rsidP="00E1521D">
      <w:pPr>
        <w:shd w:val="clear" w:color="auto" w:fill="E8E8E8" w:themeFill="background2"/>
        <w:jc w:val="both"/>
        <w:rPr>
          <w:b/>
          <w:bCs/>
        </w:rPr>
      </w:pPr>
      <w:r w:rsidRPr="004C3CC6">
        <w:rPr>
          <w:b/>
          <w:bCs/>
        </w:rPr>
        <w:t>Intervención</w:t>
      </w:r>
      <w:r>
        <w:rPr>
          <w:b/>
          <w:bCs/>
        </w:rPr>
        <w:t xml:space="preserve"> 7</w:t>
      </w:r>
      <w:r w:rsidRPr="004C3CC6">
        <w:rPr>
          <w:b/>
          <w:bCs/>
        </w:rPr>
        <w:t>:</w:t>
      </w:r>
    </w:p>
    <w:p w14:paraId="3A8D181E" w14:textId="77777777" w:rsidR="00F55917" w:rsidRPr="004C3CC6" w:rsidRDefault="00F55917" w:rsidP="00E1521D">
      <w:pPr>
        <w:shd w:val="clear" w:color="auto" w:fill="E8E8E8" w:themeFill="background2"/>
        <w:jc w:val="both"/>
        <w:rPr>
          <w:b/>
          <w:bCs/>
        </w:rPr>
      </w:pPr>
      <w:r w:rsidRPr="004C3CC6">
        <w:rPr>
          <w:b/>
          <w:bCs/>
        </w:rPr>
        <w:t>“En relación con la experiencia de 250 mil luminarias: en República Dominicana las experiencias normalmente no van enfocadas específicamente a contratos de luminarias, pero sí instalamos y hay consorcios que no solamente instalan este tipo de lámparas, sino también otros tipos de lámparas</w:t>
      </w:r>
      <w:r>
        <w:rPr>
          <w:b/>
          <w:bCs/>
        </w:rPr>
        <w:t xml:space="preserve">, incluso más complejas. </w:t>
      </w:r>
      <w:r w:rsidRPr="004C3CC6">
        <w:rPr>
          <w:b/>
          <w:bCs/>
        </w:rPr>
        <w:t>Esas experiencias, en términos de puntos de iluminación, ¿funcionan en este proceso?</w:t>
      </w:r>
      <w:r>
        <w:rPr>
          <w:b/>
          <w:bCs/>
        </w:rPr>
        <w:t xml:space="preserve"> </w:t>
      </w:r>
      <w:r w:rsidRPr="004C3CC6">
        <w:rPr>
          <w:b/>
          <w:bCs/>
        </w:rPr>
        <w:t>Nosotros instalamos y hacemos mantenimiento también; tenemos contratos de mantenimiento. En un contrato de mantenimiento podemos haber reparado o sustituido miles de luminarias. Entendemos que eso es una experiencia importante, incluso a veces más compleja.”</w:t>
      </w:r>
    </w:p>
    <w:p w14:paraId="2DE52239" w14:textId="77777777" w:rsidR="008E18DC" w:rsidRDefault="008E18DC" w:rsidP="00E1521D">
      <w:pPr>
        <w:jc w:val="both"/>
        <w:rPr>
          <w:b/>
          <w:bCs/>
        </w:rPr>
      </w:pPr>
    </w:p>
    <w:p w14:paraId="0EF1D53E" w14:textId="7A19CD0D" w:rsidR="00F55917" w:rsidRDefault="00F55917" w:rsidP="00E1521D">
      <w:pPr>
        <w:jc w:val="both"/>
        <w:rPr>
          <w:b/>
          <w:bCs/>
          <w:color w:val="EE0000"/>
        </w:rPr>
      </w:pPr>
      <w:r w:rsidRPr="008E18DC">
        <w:rPr>
          <w:b/>
          <w:bCs/>
          <w:highlight w:val="green"/>
        </w:rPr>
        <w:t>Respuesta:</w:t>
      </w:r>
      <w:r w:rsidRPr="004C3CC6">
        <w:rPr>
          <w:b/>
          <w:bCs/>
        </w:rPr>
        <w:br/>
      </w:r>
      <w:r w:rsidRPr="008E18DC">
        <w:rPr>
          <w:rFonts w:ascii="Cambria" w:hAnsi="Cambria"/>
          <w:color w:val="275317" w:themeColor="accent6" w:themeShade="80"/>
        </w:rPr>
        <w:t>Se considerarán las experiencias evidenciadas que incluyan dentro de los contratos de mantenimiento la sustitución, adaptación e instalación de luminarias y soportes indicando la cantidad de estas que hayan sido realizadas.</w:t>
      </w:r>
      <w:r>
        <w:rPr>
          <w:b/>
          <w:bCs/>
          <w:color w:val="EE0000"/>
        </w:rPr>
        <w:t xml:space="preserve"> </w:t>
      </w:r>
      <w:r w:rsidR="008E18DC" w:rsidRPr="008E18DC">
        <w:rPr>
          <w:rFonts w:ascii="Cambria" w:hAnsi="Cambria"/>
          <w:color w:val="275317" w:themeColor="accent6" w:themeShade="80"/>
          <w:highlight w:val="yellow"/>
        </w:rPr>
        <w:t xml:space="preserve">(valorar por el coordinador general de </w:t>
      </w:r>
      <w:proofErr w:type="spellStart"/>
      <w:r w:rsidR="008E18DC" w:rsidRPr="008E18DC">
        <w:rPr>
          <w:rFonts w:ascii="Cambria" w:hAnsi="Cambria"/>
          <w:color w:val="275317" w:themeColor="accent6" w:themeShade="80"/>
          <w:highlight w:val="yellow"/>
        </w:rPr>
        <w:t>uep</w:t>
      </w:r>
      <w:proofErr w:type="spellEnd"/>
      <w:r w:rsidR="008E18DC" w:rsidRPr="008E18DC">
        <w:rPr>
          <w:rFonts w:ascii="Cambria" w:hAnsi="Cambria"/>
          <w:color w:val="275317" w:themeColor="accent6" w:themeShade="80"/>
          <w:highlight w:val="yellow"/>
        </w:rPr>
        <w:t>).</w:t>
      </w:r>
    </w:p>
    <w:p w14:paraId="2B70C0A9" w14:textId="77777777" w:rsidR="00F55917" w:rsidRPr="00A07CEE" w:rsidRDefault="00F55917" w:rsidP="00E1521D">
      <w:pPr>
        <w:jc w:val="both"/>
        <w:rPr>
          <w:color w:val="EE0000"/>
        </w:rPr>
      </w:pPr>
    </w:p>
    <w:p w14:paraId="34F555C0" w14:textId="7545F42E" w:rsidR="0020756E" w:rsidRDefault="0020756E" w:rsidP="00E1521D">
      <w:pPr>
        <w:jc w:val="both"/>
      </w:pPr>
    </w:p>
    <w:p w14:paraId="17B58638" w14:textId="29EACF69" w:rsidR="008E18DC" w:rsidRDefault="008E18DC" w:rsidP="00E1521D">
      <w:pPr>
        <w:jc w:val="both"/>
      </w:pPr>
    </w:p>
    <w:p w14:paraId="3023CA69" w14:textId="6818DAC2" w:rsidR="008E18DC" w:rsidRDefault="008E18DC" w:rsidP="00E1521D">
      <w:pPr>
        <w:jc w:val="both"/>
      </w:pPr>
    </w:p>
    <w:p w14:paraId="1C8D42A9" w14:textId="7242FC5F" w:rsidR="008E18DC" w:rsidRDefault="008E18DC" w:rsidP="00E1521D">
      <w:pPr>
        <w:jc w:val="both"/>
      </w:pPr>
    </w:p>
    <w:p w14:paraId="0ED8C472" w14:textId="2CF50DAD" w:rsidR="008E18DC" w:rsidRDefault="008E18DC" w:rsidP="00E1521D">
      <w:pPr>
        <w:jc w:val="both"/>
      </w:pPr>
    </w:p>
    <w:p w14:paraId="501A6B88" w14:textId="209C1766" w:rsidR="008E18DC" w:rsidRDefault="008E18DC" w:rsidP="00E1521D">
      <w:pPr>
        <w:jc w:val="both"/>
      </w:pPr>
    </w:p>
    <w:p w14:paraId="1F3A797A" w14:textId="2152F37F" w:rsidR="008E18DC" w:rsidRDefault="008E18DC" w:rsidP="00E1521D">
      <w:pPr>
        <w:jc w:val="both"/>
      </w:pPr>
    </w:p>
    <w:p w14:paraId="06540F21" w14:textId="61D51D1C" w:rsidR="008E18DC" w:rsidRDefault="008E18DC" w:rsidP="00E1521D">
      <w:pPr>
        <w:jc w:val="both"/>
      </w:pPr>
    </w:p>
    <w:p w14:paraId="47CA96E2" w14:textId="420B4287" w:rsidR="008E18DC" w:rsidRDefault="008E18DC" w:rsidP="00E1521D">
      <w:pPr>
        <w:jc w:val="both"/>
      </w:pPr>
    </w:p>
    <w:p w14:paraId="45041A7F" w14:textId="497951BA" w:rsidR="008E18DC" w:rsidRDefault="008E18DC" w:rsidP="00E1521D">
      <w:pPr>
        <w:jc w:val="both"/>
      </w:pPr>
    </w:p>
    <w:p w14:paraId="4E41335F" w14:textId="365CA572" w:rsidR="008E18DC" w:rsidRDefault="008E18DC" w:rsidP="00E1521D">
      <w:pPr>
        <w:jc w:val="both"/>
      </w:pPr>
    </w:p>
    <w:p w14:paraId="1B43C967" w14:textId="129236BC" w:rsidR="008E18DC" w:rsidRDefault="008E18DC" w:rsidP="00E1521D">
      <w:pPr>
        <w:jc w:val="both"/>
      </w:pPr>
    </w:p>
    <w:p w14:paraId="0E4A7443" w14:textId="595AD706" w:rsidR="008E18DC" w:rsidRDefault="008E18DC" w:rsidP="00E1521D">
      <w:pPr>
        <w:jc w:val="both"/>
      </w:pPr>
    </w:p>
    <w:p w14:paraId="0CF7F339" w14:textId="1F3A96B8" w:rsidR="008E18DC" w:rsidRDefault="008E18DC" w:rsidP="00E1521D">
      <w:pPr>
        <w:jc w:val="both"/>
      </w:pPr>
    </w:p>
    <w:p w14:paraId="25B4CF7C" w14:textId="77777777" w:rsidR="008E18DC" w:rsidRPr="006E24A7" w:rsidRDefault="008E18DC" w:rsidP="00E1521D">
      <w:pPr>
        <w:jc w:val="both"/>
      </w:pPr>
    </w:p>
    <w:p w14:paraId="75726076" w14:textId="77777777" w:rsidR="002F2B9F" w:rsidRPr="006E24A7" w:rsidRDefault="002F2B9F" w:rsidP="00E1521D">
      <w:pPr>
        <w:jc w:val="both"/>
        <w:rPr>
          <w:rFonts w:ascii="Cambria" w:hAnsi="Cambria"/>
          <w:b/>
          <w:bCs/>
        </w:rPr>
      </w:pPr>
    </w:p>
    <w:p w14:paraId="5450F592" w14:textId="11B204E4" w:rsidR="00F8318F" w:rsidRPr="00F8318F" w:rsidRDefault="00F8318F" w:rsidP="00E1521D">
      <w:pPr>
        <w:jc w:val="both"/>
        <w:rPr>
          <w:rFonts w:ascii="Cambria" w:hAnsi="Cambria"/>
          <w:b/>
          <w:bCs/>
        </w:rPr>
      </w:pPr>
      <w:r w:rsidRPr="00F8318F">
        <w:rPr>
          <w:rFonts w:ascii="Cambria" w:hAnsi="Cambria"/>
          <w:b/>
          <w:bCs/>
        </w:rPr>
        <w:lastRenderedPageBreak/>
        <w:t>Disposición Final</w:t>
      </w:r>
    </w:p>
    <w:p w14:paraId="5104296D" w14:textId="77777777" w:rsidR="006F6840" w:rsidRPr="006F6840" w:rsidRDefault="006F6840" w:rsidP="00E1521D">
      <w:pPr>
        <w:pBdr>
          <w:bottom w:val="dotted" w:sz="24" w:space="1" w:color="auto"/>
        </w:pBdr>
        <w:jc w:val="both"/>
        <w:rPr>
          <w:rFonts w:ascii="Cambria" w:hAnsi="Cambria"/>
        </w:rPr>
      </w:pPr>
      <w:r w:rsidRPr="006F6840">
        <w:rPr>
          <w:rFonts w:ascii="Cambria" w:hAnsi="Cambria"/>
        </w:rPr>
        <w:t>Las aclaraciones contenidas en la presente Circular deberán ser consideradas por los oferentes al momento de preparar sus propuestas y se entienden como parte del proceso de aclaración del Documento de Licitación.</w:t>
      </w:r>
    </w:p>
    <w:p w14:paraId="27B61AF5" w14:textId="77777777" w:rsidR="006F6840" w:rsidRPr="006F6840" w:rsidRDefault="006F6840" w:rsidP="00E1521D">
      <w:pPr>
        <w:pBdr>
          <w:bottom w:val="dotted" w:sz="24" w:space="1" w:color="auto"/>
        </w:pBdr>
        <w:jc w:val="both"/>
        <w:rPr>
          <w:rFonts w:ascii="Cambria" w:hAnsi="Cambria"/>
        </w:rPr>
      </w:pPr>
      <w:r w:rsidRPr="006F6840">
        <w:rPr>
          <w:rFonts w:ascii="Cambria" w:hAnsi="Cambria"/>
        </w:rPr>
        <w:t>El presente documento se emite conforme a lo establecido en las Políticas para la Adquisición de Bienes y Obras Financiados por el Banco Interamericano de Desarrollo (GN-2349-15), el Manual de Operaciones del Programa y las Instrucciones a los Licitantes (IAL) del Documento de Licitación.</w:t>
      </w:r>
    </w:p>
    <w:p w14:paraId="1034F31C" w14:textId="77777777" w:rsidR="006F6840" w:rsidRDefault="006F6840" w:rsidP="00E1521D">
      <w:pPr>
        <w:pBdr>
          <w:bottom w:val="dotted" w:sz="24" w:space="1" w:color="auto"/>
        </w:pBdr>
        <w:jc w:val="both"/>
        <w:rPr>
          <w:rFonts w:ascii="Cambria" w:hAnsi="Cambria"/>
        </w:rPr>
      </w:pPr>
      <w:r w:rsidRPr="006F6840">
        <w:rPr>
          <w:rFonts w:ascii="Cambria" w:hAnsi="Cambria"/>
        </w:rPr>
        <w:t>Las respuestas contenidas en la presente Circular tienen carácter aclaratorio y no modifican el contenido del Documento de Licitación. En caso de que alguna de ellas implique una modificación, precisión obligatoria o ajuste a sus disposiciones, dicha modificación será formalizada mediante la correspondiente Enmienda, conforme a lo establecido en las IAL.</w:t>
      </w:r>
    </w:p>
    <w:p w14:paraId="2CD605AA" w14:textId="37D42224" w:rsidR="00F86456" w:rsidRPr="006F6840" w:rsidRDefault="00F86456" w:rsidP="00E1521D">
      <w:pPr>
        <w:pBdr>
          <w:bottom w:val="dotted" w:sz="24" w:space="1" w:color="auto"/>
        </w:pBdr>
        <w:jc w:val="both"/>
        <w:rPr>
          <w:rFonts w:ascii="Cambria" w:hAnsi="Cambria"/>
        </w:rPr>
      </w:pPr>
      <w:r w:rsidRPr="00F86456">
        <w:rPr>
          <w:rFonts w:ascii="Cambria" w:hAnsi="Cambria"/>
        </w:rPr>
        <w:t>En caso de discrepancia entre el contenido de esta Circular y el Documento de Licitación, prevalecerá lo establecido en este último, salvo que exista una Enmienda formalmente emitida.</w:t>
      </w:r>
    </w:p>
    <w:p w14:paraId="6A883D8A" w14:textId="77777777" w:rsidR="006C1E37" w:rsidRDefault="006C1E37" w:rsidP="00E1521D">
      <w:pPr>
        <w:pBdr>
          <w:bottom w:val="dotted" w:sz="24" w:space="1" w:color="auto"/>
        </w:pBdr>
        <w:jc w:val="both"/>
      </w:pPr>
    </w:p>
    <w:p w14:paraId="2BC68FC2" w14:textId="77777777" w:rsidR="004E70EA" w:rsidRDefault="004E70EA" w:rsidP="00E1521D">
      <w:pPr>
        <w:pBdr>
          <w:bottom w:val="dotted" w:sz="24" w:space="1" w:color="auto"/>
        </w:pBdr>
        <w:jc w:val="both"/>
      </w:pPr>
    </w:p>
    <w:p w14:paraId="5B60CCB7" w14:textId="77777777" w:rsidR="004B2420" w:rsidRDefault="004B2420" w:rsidP="00E1521D">
      <w:pPr>
        <w:shd w:val="clear" w:color="auto" w:fill="E8E8E8" w:themeFill="background2"/>
        <w:jc w:val="both"/>
        <w:rPr>
          <w:b/>
          <w:bCs/>
        </w:rPr>
      </w:pPr>
      <w:r w:rsidRPr="00471AAF">
        <w:rPr>
          <w:b/>
          <w:bCs/>
        </w:rPr>
        <w:t>Intervención</w:t>
      </w:r>
      <w:r>
        <w:rPr>
          <w:b/>
          <w:bCs/>
        </w:rPr>
        <w:t xml:space="preserve"> 16</w:t>
      </w:r>
      <w:r w:rsidRPr="00471AAF">
        <w:rPr>
          <w:b/>
          <w:bCs/>
        </w:rPr>
        <w:t>:</w:t>
      </w:r>
    </w:p>
    <w:p w14:paraId="2B9A67CA" w14:textId="77777777" w:rsidR="004B2420" w:rsidRPr="00424102" w:rsidRDefault="004B2420" w:rsidP="00E1521D">
      <w:pPr>
        <w:shd w:val="clear" w:color="auto" w:fill="E8E8E8" w:themeFill="background2"/>
        <w:jc w:val="both"/>
        <w:rPr>
          <w:b/>
          <w:bCs/>
        </w:rPr>
      </w:pPr>
      <w:r w:rsidRPr="00424102">
        <w:rPr>
          <w:b/>
          <w:bCs/>
        </w:rPr>
        <w:t>“Respecto al requisito de facturación anual mínima en el sector eléctrico, ¿debe corresponder exclusivamente a proyectos de luminarias o pueden considerarse válidos otros tipos de proyectos que impliquen electrificación, como por ejemplo sistemas de alimentación ferroviaria?”</w:t>
      </w:r>
    </w:p>
    <w:p w14:paraId="27DCDCF8" w14:textId="77777777" w:rsidR="008E18DC" w:rsidRDefault="008E18DC" w:rsidP="00E1521D">
      <w:pPr>
        <w:jc w:val="both"/>
        <w:rPr>
          <w:b/>
          <w:bCs/>
        </w:rPr>
      </w:pPr>
    </w:p>
    <w:p w14:paraId="5D8C8C05" w14:textId="24889C31" w:rsidR="004B2420" w:rsidRPr="00D1084B" w:rsidRDefault="004B2420" w:rsidP="00E1521D">
      <w:pPr>
        <w:jc w:val="both"/>
        <w:rPr>
          <w:b/>
          <w:bCs/>
        </w:rPr>
      </w:pPr>
      <w:r w:rsidRPr="00D1084B">
        <w:rPr>
          <w:b/>
          <w:bCs/>
        </w:rPr>
        <w:t>Respuesta:</w:t>
      </w:r>
    </w:p>
    <w:p w14:paraId="2CC56B20" w14:textId="31759350" w:rsidR="00E504E5" w:rsidRPr="006B76E4" w:rsidRDefault="00E504E5" w:rsidP="00E1521D">
      <w:pPr>
        <w:jc w:val="both"/>
        <w:rPr>
          <w:u w:val="single"/>
        </w:rPr>
      </w:pPr>
      <w:r>
        <w:rPr>
          <w:color w:val="275317" w:themeColor="accent6" w:themeShade="80"/>
        </w:rPr>
        <w:t>Es necesario cumplir con lo establecido en los pliegos relativamente a la experiencia en proyecto de suministro e instalación de luminarias.</w:t>
      </w:r>
    </w:p>
    <w:p w14:paraId="4C838B33" w14:textId="77777777" w:rsidR="00E504E5" w:rsidRPr="00424102" w:rsidRDefault="00E504E5" w:rsidP="00E1521D">
      <w:pPr>
        <w:jc w:val="both"/>
      </w:pPr>
    </w:p>
    <w:p w14:paraId="1F5A1602" w14:textId="77777777" w:rsidR="004B2420" w:rsidRDefault="004B2420" w:rsidP="00E1521D">
      <w:pPr>
        <w:jc w:val="both"/>
      </w:pPr>
    </w:p>
    <w:p w14:paraId="5E0AFBA7" w14:textId="77777777" w:rsidR="004B2420" w:rsidRDefault="004B2420" w:rsidP="00E1521D">
      <w:pPr>
        <w:jc w:val="both"/>
        <w:rPr>
          <w:b/>
          <w:bCs/>
        </w:rPr>
      </w:pPr>
      <w:r w:rsidRPr="006B324D">
        <w:rPr>
          <w:b/>
          <w:bCs/>
        </w:rPr>
        <w:t>BLOQUE 5. ESPECIFICACIONES TÉCNICAS DE LUMINARIAS</w:t>
      </w:r>
    </w:p>
    <w:p w14:paraId="666526F5" w14:textId="77777777" w:rsidR="004B2420" w:rsidRPr="00471AAF" w:rsidRDefault="004B2420" w:rsidP="00E1521D">
      <w:pPr>
        <w:jc w:val="both"/>
        <w:rPr>
          <w:b/>
          <w:bCs/>
          <w:sz w:val="20"/>
          <w:szCs w:val="20"/>
        </w:rPr>
      </w:pPr>
      <w:r w:rsidRPr="00827EF5">
        <w:rPr>
          <w:b/>
          <w:bCs/>
          <w:sz w:val="20"/>
          <w:szCs w:val="20"/>
        </w:rPr>
        <w:t>BLOQUE 5A. DISEÑO Y DESEMPEÑO DE LUMINARIAS</w:t>
      </w:r>
    </w:p>
    <w:p w14:paraId="5194776B" w14:textId="77777777" w:rsidR="004B2420" w:rsidRDefault="004B2420" w:rsidP="00E1521D">
      <w:pPr>
        <w:shd w:val="clear" w:color="auto" w:fill="E8E8E8" w:themeFill="background2"/>
        <w:jc w:val="both"/>
        <w:rPr>
          <w:b/>
          <w:bCs/>
        </w:rPr>
      </w:pPr>
      <w:r w:rsidRPr="00471AAF">
        <w:rPr>
          <w:b/>
          <w:bCs/>
        </w:rPr>
        <w:t>Intervención</w:t>
      </w:r>
      <w:r>
        <w:rPr>
          <w:b/>
          <w:bCs/>
        </w:rPr>
        <w:t xml:space="preserve"> 17</w:t>
      </w:r>
      <w:r w:rsidRPr="00471AAF">
        <w:rPr>
          <w:b/>
          <w:bCs/>
        </w:rPr>
        <w:t>:</w:t>
      </w:r>
    </w:p>
    <w:p w14:paraId="47B62BB9" w14:textId="77777777" w:rsidR="004B2420" w:rsidRPr="00471AAF" w:rsidRDefault="004B2420" w:rsidP="00E1521D">
      <w:pPr>
        <w:shd w:val="clear" w:color="auto" w:fill="E8E8E8" w:themeFill="background2"/>
        <w:jc w:val="both"/>
        <w:rPr>
          <w:b/>
          <w:bCs/>
        </w:rPr>
      </w:pPr>
      <w:r w:rsidRPr="00471AAF">
        <w:rPr>
          <w:b/>
          <w:bCs/>
        </w:rPr>
        <w:t>“¿Las luminarias con batería deben funcionar al 100% de su potencia durante todo el tiempo del corte de electricidad? En caso afirmativo, ¿cuántas horas?”</w:t>
      </w:r>
    </w:p>
    <w:p w14:paraId="62C2ED9F" w14:textId="77777777" w:rsidR="008E18DC" w:rsidRDefault="008E18DC" w:rsidP="00E1521D">
      <w:pPr>
        <w:jc w:val="both"/>
        <w:rPr>
          <w:b/>
          <w:bCs/>
        </w:rPr>
      </w:pPr>
    </w:p>
    <w:p w14:paraId="32B8289B" w14:textId="6B22DDFA" w:rsidR="004B2420" w:rsidRDefault="004B2420" w:rsidP="00E1521D">
      <w:pPr>
        <w:jc w:val="both"/>
      </w:pPr>
      <w:r w:rsidRPr="00471AAF">
        <w:rPr>
          <w:b/>
          <w:bCs/>
        </w:rPr>
        <w:t>Respuesta:</w:t>
      </w:r>
    </w:p>
    <w:p w14:paraId="02F9307A" w14:textId="77777777" w:rsidR="00E504E5" w:rsidRPr="006B76E4" w:rsidRDefault="00E504E5" w:rsidP="00E1521D">
      <w:pPr>
        <w:jc w:val="both"/>
        <w:rPr>
          <w:u w:val="single"/>
        </w:rPr>
      </w:pPr>
      <w:r>
        <w:rPr>
          <w:color w:val="275317" w:themeColor="accent6" w:themeShade="80"/>
        </w:rPr>
        <w:t>No tiene por qué coincidir siempre con el 100%. Las luminarias con baterías de emergencias cumplirán la función de proporcionar el servicio mínimo de alumbrado frente a cortes del suministro eléctrico. Es por ello que se configuraran para proporcionar el mayor número de horas de autonomía, dependiendo de la potencia de las luminarias y el régimen de funcionamiento de la misma.</w:t>
      </w:r>
    </w:p>
    <w:p w14:paraId="64EDD0E0" w14:textId="77777777" w:rsidR="00E504E5" w:rsidRDefault="00E504E5" w:rsidP="00E1521D">
      <w:pPr>
        <w:jc w:val="both"/>
      </w:pPr>
    </w:p>
    <w:p w14:paraId="5DFA9853" w14:textId="77777777" w:rsidR="004B2420" w:rsidRDefault="004B2420" w:rsidP="00E1521D">
      <w:pPr>
        <w:jc w:val="both"/>
        <w:rPr>
          <w:b/>
          <w:bCs/>
        </w:rPr>
      </w:pPr>
    </w:p>
    <w:p w14:paraId="71B29612" w14:textId="77777777" w:rsidR="004B2420" w:rsidRPr="003A3F22" w:rsidRDefault="004B2420" w:rsidP="00E1521D">
      <w:pPr>
        <w:shd w:val="clear" w:color="auto" w:fill="E8E8E8" w:themeFill="background2"/>
        <w:jc w:val="both"/>
        <w:rPr>
          <w:b/>
          <w:bCs/>
        </w:rPr>
      </w:pPr>
      <w:r w:rsidRPr="00BD7212">
        <w:rPr>
          <w:b/>
          <w:bCs/>
        </w:rPr>
        <w:t>Intervención</w:t>
      </w:r>
      <w:r w:rsidRPr="003A3F22">
        <w:rPr>
          <w:b/>
          <w:bCs/>
        </w:rPr>
        <w:t xml:space="preserve"> 18</w:t>
      </w:r>
      <w:r w:rsidRPr="00BD7212">
        <w:rPr>
          <w:b/>
          <w:bCs/>
        </w:rPr>
        <w:t>:</w:t>
      </w:r>
    </w:p>
    <w:p w14:paraId="6B341C49" w14:textId="77777777" w:rsidR="004B2420" w:rsidRPr="00BD7212" w:rsidRDefault="004B2420" w:rsidP="00E1521D">
      <w:pPr>
        <w:shd w:val="clear" w:color="auto" w:fill="E8E8E8" w:themeFill="background2"/>
        <w:jc w:val="both"/>
        <w:rPr>
          <w:b/>
          <w:bCs/>
        </w:rPr>
      </w:pPr>
      <w:r w:rsidRPr="00BD7212">
        <w:rPr>
          <w:b/>
          <w:bCs/>
        </w:rPr>
        <w:t>“En relación con las luminarias con batería, se solicita una configuración de voltaje que podría facilitar la sustracción de las baterías para otros usos.</w:t>
      </w:r>
      <w:r w:rsidRPr="00BD7212">
        <w:rPr>
          <w:b/>
          <w:bCs/>
        </w:rPr>
        <w:br/>
        <w:t>¿Se ha considerado este riesgo desde el punto de vista de seguridad?”</w:t>
      </w:r>
    </w:p>
    <w:p w14:paraId="1673B756" w14:textId="77777777" w:rsidR="008E18DC" w:rsidRDefault="008E18DC" w:rsidP="00E1521D">
      <w:pPr>
        <w:jc w:val="both"/>
        <w:rPr>
          <w:b/>
          <w:bCs/>
        </w:rPr>
      </w:pPr>
    </w:p>
    <w:p w14:paraId="492DFE27" w14:textId="06F8EB9E" w:rsidR="004B2420" w:rsidRDefault="004B2420" w:rsidP="00E1521D">
      <w:pPr>
        <w:jc w:val="both"/>
      </w:pPr>
      <w:r w:rsidRPr="00BD7212">
        <w:rPr>
          <w:b/>
          <w:bCs/>
        </w:rPr>
        <w:lastRenderedPageBreak/>
        <w:t>Respuesta:</w:t>
      </w:r>
    </w:p>
    <w:p w14:paraId="7C11B6A5" w14:textId="77777777" w:rsidR="00064BC0" w:rsidRDefault="00064BC0" w:rsidP="00E1521D">
      <w:pPr>
        <w:jc w:val="both"/>
        <w:rPr>
          <w:color w:val="EE0000"/>
        </w:rPr>
      </w:pPr>
      <w:r>
        <w:rPr>
          <w:rFonts w:ascii="Cambria" w:hAnsi="Cambria"/>
          <w:color w:val="275317" w:themeColor="accent6" w:themeShade="80"/>
        </w:rPr>
        <w:t xml:space="preserve">No se considera ninguna configuración de voltaje particular para reducir el riesgo de robos. Se trata de una solución de luminarias compactas instaladas a una altura suficiente para no ser alcanzables con facilidad. </w:t>
      </w:r>
    </w:p>
    <w:p w14:paraId="4F188E23" w14:textId="77777777" w:rsidR="00064BC0" w:rsidRPr="00BD7212" w:rsidRDefault="00064BC0" w:rsidP="00E1521D">
      <w:pPr>
        <w:jc w:val="both"/>
      </w:pPr>
    </w:p>
    <w:p w14:paraId="047BEBB9" w14:textId="77777777" w:rsidR="004B2420" w:rsidRDefault="004B2420" w:rsidP="00E1521D">
      <w:pPr>
        <w:jc w:val="both"/>
        <w:rPr>
          <w:b/>
          <w:bCs/>
        </w:rPr>
      </w:pPr>
    </w:p>
    <w:p w14:paraId="210ECB9C" w14:textId="77777777" w:rsidR="004B2420" w:rsidRPr="00E05294" w:rsidRDefault="004B2420" w:rsidP="00E1521D">
      <w:pPr>
        <w:shd w:val="clear" w:color="auto" w:fill="E8E8E8" w:themeFill="background2"/>
        <w:jc w:val="both"/>
        <w:rPr>
          <w:b/>
          <w:bCs/>
        </w:rPr>
      </w:pPr>
      <w:r w:rsidRPr="00E05294">
        <w:rPr>
          <w:b/>
          <w:bCs/>
        </w:rPr>
        <w:t>Intervención 19:</w:t>
      </w:r>
    </w:p>
    <w:p w14:paraId="4FA5EA60" w14:textId="77777777" w:rsidR="004B2420" w:rsidRPr="00E05294" w:rsidRDefault="004B2420" w:rsidP="00E1521D">
      <w:pPr>
        <w:shd w:val="clear" w:color="auto" w:fill="E8E8E8" w:themeFill="background2"/>
        <w:jc w:val="both"/>
        <w:rPr>
          <w:b/>
          <w:bCs/>
        </w:rPr>
      </w:pPr>
      <w:r w:rsidRPr="00E05294">
        <w:rPr>
          <w:b/>
          <w:bCs/>
        </w:rPr>
        <w:t xml:space="preserve">“Mi nombre es Julio César Franco, de </w:t>
      </w:r>
      <w:proofErr w:type="spellStart"/>
      <w:r w:rsidRPr="00E05294">
        <w:rPr>
          <w:b/>
          <w:bCs/>
        </w:rPr>
        <w:t>Alutrafic</w:t>
      </w:r>
      <w:proofErr w:type="spellEnd"/>
      <w:r w:rsidRPr="00E05294">
        <w:rPr>
          <w:b/>
          <w:bCs/>
        </w:rPr>
        <w:t xml:space="preserve"> LED, fabricante de luminarias colombiano. Para nosotros es importante aclarar el nivel de aislamiento eléctrico, ya que en los PDTG no se especifica y es crucial en el funcionamiento normal de las luminarias LED.”</w:t>
      </w:r>
    </w:p>
    <w:p w14:paraId="4DE56888" w14:textId="77777777" w:rsidR="00F91646" w:rsidRDefault="00F91646" w:rsidP="00E1521D">
      <w:pPr>
        <w:jc w:val="both"/>
        <w:rPr>
          <w:b/>
          <w:bCs/>
          <w:highlight w:val="green"/>
        </w:rPr>
      </w:pPr>
    </w:p>
    <w:p w14:paraId="2B1D4263" w14:textId="3051D1AB" w:rsidR="004B2420" w:rsidRPr="00E05294" w:rsidRDefault="004B2420" w:rsidP="00E1521D">
      <w:pPr>
        <w:jc w:val="both"/>
        <w:rPr>
          <w:b/>
          <w:bCs/>
        </w:rPr>
      </w:pPr>
      <w:r w:rsidRPr="00F91646">
        <w:rPr>
          <w:b/>
          <w:bCs/>
          <w:highlight w:val="green"/>
        </w:rPr>
        <w:t>Respuesta:</w:t>
      </w:r>
    </w:p>
    <w:p w14:paraId="04A1816F" w14:textId="4763C26D" w:rsidR="00152546" w:rsidRDefault="001A334D" w:rsidP="00E1521D">
      <w:pPr>
        <w:pBdr>
          <w:bottom w:val="dotted" w:sz="24" w:space="1" w:color="auto"/>
        </w:pBdr>
        <w:jc w:val="both"/>
        <w:rPr>
          <w:rFonts w:ascii="Cambria" w:hAnsi="Cambria"/>
          <w:color w:val="275317" w:themeColor="accent6" w:themeShade="80"/>
        </w:rPr>
      </w:pPr>
      <w:r w:rsidRPr="00F91646">
        <w:rPr>
          <w:rFonts w:ascii="Cambria" w:hAnsi="Cambria"/>
          <w:color w:val="275317" w:themeColor="accent6" w:themeShade="80"/>
        </w:rPr>
        <w:t>Es necesario que las luminarias sean de Clase II</w:t>
      </w:r>
    </w:p>
    <w:p w14:paraId="59269C79" w14:textId="77777777" w:rsidR="001A334D" w:rsidRDefault="001A334D" w:rsidP="00E1521D">
      <w:pPr>
        <w:pBdr>
          <w:bottom w:val="dotted" w:sz="24" w:space="1" w:color="auto"/>
        </w:pBdr>
        <w:jc w:val="both"/>
      </w:pPr>
    </w:p>
    <w:p w14:paraId="2E7E85E3" w14:textId="77777777" w:rsidR="00270E5F" w:rsidRDefault="00270E5F" w:rsidP="00E1521D">
      <w:pPr>
        <w:shd w:val="clear" w:color="auto" w:fill="E8E8E8" w:themeFill="background2"/>
        <w:jc w:val="both"/>
        <w:rPr>
          <w:b/>
          <w:bCs/>
        </w:rPr>
      </w:pPr>
      <w:r w:rsidRPr="00471AAF">
        <w:rPr>
          <w:b/>
          <w:bCs/>
        </w:rPr>
        <w:t>Intervención</w:t>
      </w:r>
      <w:r>
        <w:rPr>
          <w:b/>
          <w:bCs/>
        </w:rPr>
        <w:t xml:space="preserve"> 23</w:t>
      </w:r>
      <w:r w:rsidRPr="00471AAF">
        <w:rPr>
          <w:b/>
          <w:bCs/>
        </w:rPr>
        <w:t>:</w:t>
      </w:r>
    </w:p>
    <w:p w14:paraId="46E32ACF" w14:textId="77777777" w:rsidR="00270E5F" w:rsidRPr="00471AAF" w:rsidRDefault="00270E5F" w:rsidP="00E1521D">
      <w:pPr>
        <w:shd w:val="clear" w:color="auto" w:fill="E8E8E8" w:themeFill="background2"/>
        <w:jc w:val="both"/>
        <w:rPr>
          <w:b/>
          <w:bCs/>
        </w:rPr>
      </w:pPr>
      <w:r w:rsidRPr="00471AAF">
        <w:rPr>
          <w:b/>
          <w:bCs/>
        </w:rPr>
        <w:t>“Con respecto al punto 1.7… la norma ANSI C136.1 no aplica a luminarias LED. Se recomienda eliminarla.”</w:t>
      </w:r>
    </w:p>
    <w:p w14:paraId="4FFC59FE" w14:textId="77777777" w:rsidR="00F91646" w:rsidRDefault="00F91646" w:rsidP="00E1521D">
      <w:pPr>
        <w:jc w:val="both"/>
        <w:rPr>
          <w:b/>
          <w:bCs/>
        </w:rPr>
      </w:pPr>
    </w:p>
    <w:p w14:paraId="3B3818B6" w14:textId="66B4BDC1" w:rsidR="00064BC0" w:rsidRDefault="00270E5F" w:rsidP="00E1521D">
      <w:pPr>
        <w:jc w:val="both"/>
        <w:rPr>
          <w:color w:val="EE0000"/>
        </w:rPr>
      </w:pPr>
      <w:r w:rsidRPr="00F91646">
        <w:rPr>
          <w:b/>
          <w:bCs/>
          <w:highlight w:val="green"/>
        </w:rPr>
        <w:t>Respuesta:</w:t>
      </w:r>
      <w:r w:rsidRPr="00471AAF">
        <w:rPr>
          <w:b/>
          <w:bCs/>
        </w:rPr>
        <w:br/>
      </w:r>
      <w:r w:rsidR="00E32339">
        <w:rPr>
          <w:rFonts w:ascii="Cambria" w:hAnsi="Cambria"/>
          <w:color w:val="275317" w:themeColor="accent6" w:themeShade="80"/>
        </w:rPr>
        <w:t>Se elimina la norma</w:t>
      </w:r>
      <w:r w:rsidR="00F91646">
        <w:rPr>
          <w:rFonts w:ascii="Cambria" w:hAnsi="Cambria"/>
          <w:color w:val="275317" w:themeColor="accent6" w:themeShade="80"/>
        </w:rPr>
        <w:t xml:space="preserve"> de la PDTG</w:t>
      </w:r>
      <w:r w:rsidR="00E32339">
        <w:rPr>
          <w:rFonts w:ascii="Cambria" w:hAnsi="Cambria"/>
          <w:color w:val="275317" w:themeColor="accent6" w:themeShade="80"/>
        </w:rPr>
        <w:t>.</w:t>
      </w:r>
    </w:p>
    <w:p w14:paraId="4666D5E1" w14:textId="3314ACDB" w:rsidR="00064BC0" w:rsidRPr="00471AAF" w:rsidRDefault="00064BC0" w:rsidP="00E1521D">
      <w:pPr>
        <w:jc w:val="both"/>
        <w:rPr>
          <w:b/>
          <w:bCs/>
        </w:rPr>
      </w:pPr>
    </w:p>
    <w:p w14:paraId="30D275AD" w14:textId="77777777" w:rsidR="00270E5F" w:rsidRDefault="00270E5F" w:rsidP="00E1521D">
      <w:pPr>
        <w:jc w:val="both"/>
        <w:rPr>
          <w:b/>
          <w:bCs/>
          <w:sz w:val="20"/>
          <w:szCs w:val="20"/>
        </w:rPr>
      </w:pPr>
    </w:p>
    <w:p w14:paraId="14F94BF6" w14:textId="77777777" w:rsidR="00270E5F" w:rsidRDefault="00270E5F" w:rsidP="00E1521D">
      <w:pPr>
        <w:shd w:val="clear" w:color="auto" w:fill="E8E8E8" w:themeFill="background2"/>
        <w:jc w:val="both"/>
        <w:rPr>
          <w:b/>
          <w:bCs/>
        </w:rPr>
      </w:pPr>
      <w:r w:rsidRPr="00471AAF">
        <w:rPr>
          <w:b/>
          <w:bCs/>
        </w:rPr>
        <w:t>Intervención</w:t>
      </w:r>
      <w:r>
        <w:rPr>
          <w:b/>
          <w:bCs/>
        </w:rPr>
        <w:t xml:space="preserve"> 24</w:t>
      </w:r>
      <w:r w:rsidRPr="00471AAF">
        <w:rPr>
          <w:b/>
          <w:bCs/>
        </w:rPr>
        <w:t>:</w:t>
      </w:r>
    </w:p>
    <w:p w14:paraId="3AE3D53D" w14:textId="77777777" w:rsidR="00270E5F" w:rsidRPr="00471AAF" w:rsidRDefault="00270E5F" w:rsidP="00E1521D">
      <w:pPr>
        <w:shd w:val="clear" w:color="auto" w:fill="E8E8E8" w:themeFill="background2"/>
        <w:jc w:val="both"/>
        <w:rPr>
          <w:b/>
          <w:bCs/>
        </w:rPr>
      </w:pPr>
      <w:r w:rsidRPr="00707E53">
        <w:rPr>
          <w:b/>
          <w:bCs/>
        </w:rPr>
        <w:t>“Las secciones 3.14 y 4.9 del documento PDTG para luminarias LED y luminarias LED alimentadas por batería especifican explícitamente la ‘certificación UL o una certificación equivalente’ (donde dicha certificación debe ser válida y verificable). ¿Se considera la certificación CE una certificación equivalente aceptable?”</w:t>
      </w:r>
    </w:p>
    <w:p w14:paraId="4A93A23F" w14:textId="77777777" w:rsidR="00F91646" w:rsidRDefault="00F91646" w:rsidP="00E1521D">
      <w:pPr>
        <w:jc w:val="both"/>
        <w:rPr>
          <w:b/>
          <w:bCs/>
        </w:rPr>
      </w:pPr>
    </w:p>
    <w:p w14:paraId="517859D4" w14:textId="48A1F80A" w:rsidR="00270E5F" w:rsidRDefault="00270E5F" w:rsidP="00E1521D">
      <w:pPr>
        <w:jc w:val="both"/>
      </w:pPr>
      <w:r w:rsidRPr="00F91646">
        <w:rPr>
          <w:b/>
          <w:bCs/>
        </w:rPr>
        <w:t>Respuesta:</w:t>
      </w:r>
    </w:p>
    <w:p w14:paraId="45B43230" w14:textId="28C24AD8" w:rsidR="00064BC0" w:rsidRDefault="00E32339" w:rsidP="00E1521D">
      <w:pPr>
        <w:jc w:val="both"/>
        <w:rPr>
          <w:color w:val="EE0000"/>
        </w:rPr>
      </w:pPr>
      <w:r>
        <w:rPr>
          <w:rFonts w:ascii="Cambria" w:hAnsi="Cambria"/>
          <w:color w:val="275317" w:themeColor="accent6" w:themeShade="80"/>
        </w:rPr>
        <w:t>Se permite CE al considerar equivalente.</w:t>
      </w:r>
    </w:p>
    <w:p w14:paraId="03F90DC4" w14:textId="77777777" w:rsidR="00064BC0" w:rsidRDefault="00064BC0" w:rsidP="00E1521D">
      <w:pPr>
        <w:jc w:val="both"/>
        <w:rPr>
          <w:b/>
          <w:bCs/>
        </w:rPr>
      </w:pPr>
    </w:p>
    <w:p w14:paraId="111AFD99" w14:textId="77777777" w:rsidR="00270E5F" w:rsidRDefault="00270E5F" w:rsidP="00E1521D">
      <w:pPr>
        <w:jc w:val="both"/>
        <w:rPr>
          <w:b/>
          <w:bCs/>
          <w:sz w:val="20"/>
          <w:szCs w:val="20"/>
        </w:rPr>
      </w:pPr>
    </w:p>
    <w:p w14:paraId="537F996B" w14:textId="77777777" w:rsidR="00270E5F" w:rsidRDefault="00270E5F" w:rsidP="00E1521D">
      <w:pPr>
        <w:shd w:val="clear" w:color="auto" w:fill="E8E8E8" w:themeFill="background2"/>
        <w:jc w:val="both"/>
        <w:rPr>
          <w:b/>
          <w:bCs/>
        </w:rPr>
      </w:pPr>
      <w:r w:rsidRPr="004379A2">
        <w:rPr>
          <w:b/>
          <w:bCs/>
        </w:rPr>
        <w:t>Intervención</w:t>
      </w:r>
      <w:r>
        <w:rPr>
          <w:b/>
          <w:bCs/>
        </w:rPr>
        <w:t xml:space="preserve"> 25</w:t>
      </w:r>
      <w:r w:rsidRPr="004379A2">
        <w:rPr>
          <w:b/>
          <w:bCs/>
        </w:rPr>
        <w:t>:</w:t>
      </w:r>
    </w:p>
    <w:p w14:paraId="612D789C" w14:textId="77777777" w:rsidR="00270E5F" w:rsidRPr="004379A2" w:rsidRDefault="00270E5F" w:rsidP="00E1521D">
      <w:pPr>
        <w:shd w:val="clear" w:color="auto" w:fill="E8E8E8" w:themeFill="background2"/>
        <w:jc w:val="both"/>
        <w:rPr>
          <w:b/>
          <w:bCs/>
        </w:rPr>
      </w:pPr>
      <w:r w:rsidRPr="004379A2">
        <w:rPr>
          <w:b/>
          <w:bCs/>
        </w:rPr>
        <w:t>“Con respecto al punto 1.7 de los documentos PDTG para luminarias LED y luminarias LED alimentadas por batería: si bien las normas ANSI referenciadas sirven como pautas generales para las pruebas, estas no especifican los elementos de prueba exactos. ¿Es admisible realizar las pruebas utilizando normas sustitutas IEC/EN que sean equivalentes e igualmente válidas?”</w:t>
      </w:r>
    </w:p>
    <w:p w14:paraId="3181BB24" w14:textId="77777777" w:rsidR="00F91646" w:rsidRDefault="00F91646" w:rsidP="00E1521D">
      <w:pPr>
        <w:jc w:val="both"/>
        <w:rPr>
          <w:b/>
          <w:bCs/>
        </w:rPr>
      </w:pPr>
    </w:p>
    <w:p w14:paraId="2878D13D" w14:textId="50FDC165" w:rsidR="00270E5F" w:rsidRPr="004379A2" w:rsidRDefault="00270E5F" w:rsidP="00E1521D">
      <w:pPr>
        <w:jc w:val="both"/>
      </w:pPr>
      <w:r w:rsidRPr="00F91646">
        <w:rPr>
          <w:b/>
          <w:bCs/>
        </w:rPr>
        <w:t>Respuesta:</w:t>
      </w:r>
    </w:p>
    <w:p w14:paraId="78108CA8" w14:textId="10C95A19" w:rsidR="00064BC0" w:rsidRDefault="00223A95" w:rsidP="00E1521D">
      <w:pPr>
        <w:jc w:val="both"/>
        <w:rPr>
          <w:color w:val="EE0000"/>
        </w:rPr>
      </w:pPr>
      <w:r>
        <w:rPr>
          <w:rFonts w:ascii="Cambria" w:hAnsi="Cambria"/>
          <w:color w:val="275317" w:themeColor="accent6" w:themeShade="80"/>
        </w:rPr>
        <w:t>Se permiten equivalentes internacionales tal y como indica el pliego</w:t>
      </w:r>
      <w:r w:rsidR="00F91646">
        <w:rPr>
          <w:rFonts w:ascii="Cambria" w:hAnsi="Cambria"/>
          <w:color w:val="275317" w:themeColor="accent6" w:themeShade="80"/>
        </w:rPr>
        <w:t>.</w:t>
      </w:r>
    </w:p>
    <w:p w14:paraId="7A8C6BCD" w14:textId="77777777" w:rsidR="00064BC0" w:rsidRPr="00471AAF" w:rsidRDefault="00064BC0" w:rsidP="00E1521D">
      <w:pPr>
        <w:jc w:val="both"/>
        <w:rPr>
          <w:b/>
          <w:bCs/>
        </w:rPr>
      </w:pPr>
    </w:p>
    <w:p w14:paraId="1C2C8497" w14:textId="77777777" w:rsidR="00270E5F" w:rsidRDefault="00270E5F" w:rsidP="00E1521D">
      <w:pPr>
        <w:shd w:val="clear" w:color="auto" w:fill="E8E8E8" w:themeFill="background2"/>
        <w:jc w:val="both"/>
        <w:rPr>
          <w:b/>
          <w:bCs/>
        </w:rPr>
      </w:pPr>
      <w:r w:rsidRPr="004379A2">
        <w:rPr>
          <w:b/>
          <w:bCs/>
        </w:rPr>
        <w:t>Intervención</w:t>
      </w:r>
      <w:r>
        <w:rPr>
          <w:b/>
          <w:bCs/>
        </w:rPr>
        <w:t xml:space="preserve"> 26</w:t>
      </w:r>
      <w:r w:rsidRPr="004379A2">
        <w:rPr>
          <w:b/>
          <w:bCs/>
        </w:rPr>
        <w:t>:</w:t>
      </w:r>
    </w:p>
    <w:p w14:paraId="72E75CB5" w14:textId="77777777" w:rsidR="00270E5F" w:rsidRPr="00113708" w:rsidRDefault="00270E5F" w:rsidP="00E1521D">
      <w:pPr>
        <w:shd w:val="clear" w:color="auto" w:fill="E8E8E8" w:themeFill="background2"/>
        <w:jc w:val="both"/>
        <w:rPr>
          <w:b/>
          <w:bCs/>
        </w:rPr>
      </w:pPr>
      <w:r w:rsidRPr="00113708">
        <w:rPr>
          <w:b/>
          <w:bCs/>
        </w:rPr>
        <w:t xml:space="preserve">“El tiempo para obtener una certificación de cielo oscuro (como </w:t>
      </w:r>
      <w:proofErr w:type="spellStart"/>
      <w:r w:rsidRPr="00113708">
        <w:rPr>
          <w:b/>
          <w:bCs/>
        </w:rPr>
        <w:t>DarkSky</w:t>
      </w:r>
      <w:proofErr w:type="spellEnd"/>
      <w:r w:rsidRPr="00113708">
        <w:rPr>
          <w:b/>
          <w:bCs/>
        </w:rPr>
        <w:t xml:space="preserve"> </w:t>
      </w:r>
      <w:proofErr w:type="spellStart"/>
      <w:r w:rsidRPr="00113708">
        <w:rPr>
          <w:b/>
          <w:bCs/>
        </w:rPr>
        <w:t>Approved</w:t>
      </w:r>
      <w:proofErr w:type="spellEnd"/>
      <w:r w:rsidRPr="00113708">
        <w:rPr>
          <w:b/>
          <w:bCs/>
        </w:rPr>
        <w:t xml:space="preserve"> o similares) para productos de iluminación suele oscilar entre 4 y 6 semanas. ¿Sería aceptable presentarla una vez adjudicado el proceso?”</w:t>
      </w:r>
    </w:p>
    <w:p w14:paraId="6DFC0028" w14:textId="77777777" w:rsidR="00F91646" w:rsidRDefault="00F91646" w:rsidP="00E1521D">
      <w:pPr>
        <w:jc w:val="both"/>
        <w:rPr>
          <w:b/>
          <w:bCs/>
        </w:rPr>
      </w:pPr>
    </w:p>
    <w:p w14:paraId="256394E0" w14:textId="77777777" w:rsidR="00F91646" w:rsidRDefault="00F91646" w:rsidP="00E1521D">
      <w:pPr>
        <w:jc w:val="both"/>
        <w:rPr>
          <w:b/>
          <w:bCs/>
        </w:rPr>
      </w:pPr>
    </w:p>
    <w:p w14:paraId="30DC9360" w14:textId="779EE27C" w:rsidR="00270E5F" w:rsidRPr="00113708" w:rsidRDefault="00270E5F" w:rsidP="00E1521D">
      <w:pPr>
        <w:jc w:val="both"/>
        <w:rPr>
          <w:b/>
          <w:bCs/>
        </w:rPr>
      </w:pPr>
      <w:r w:rsidRPr="00F91646">
        <w:rPr>
          <w:b/>
          <w:bCs/>
          <w:highlight w:val="green"/>
        </w:rPr>
        <w:lastRenderedPageBreak/>
        <w:t>Respuesta:</w:t>
      </w:r>
    </w:p>
    <w:p w14:paraId="605E0427" w14:textId="78532984" w:rsidR="00270E5F" w:rsidRDefault="00D9629E" w:rsidP="00E1521D">
      <w:pPr>
        <w:jc w:val="both"/>
        <w:rPr>
          <w:rFonts w:ascii="Cambria" w:hAnsi="Cambria"/>
          <w:color w:val="275317" w:themeColor="accent6" w:themeShade="80"/>
        </w:rPr>
      </w:pPr>
      <w:r>
        <w:rPr>
          <w:rFonts w:ascii="Cambria" w:hAnsi="Cambria"/>
          <w:color w:val="275317" w:themeColor="accent6" w:themeShade="80"/>
        </w:rPr>
        <w:t xml:space="preserve">No se considera la certificación </w:t>
      </w:r>
      <w:proofErr w:type="spellStart"/>
      <w:r>
        <w:rPr>
          <w:rFonts w:ascii="Cambria" w:hAnsi="Cambria"/>
          <w:color w:val="275317" w:themeColor="accent6" w:themeShade="80"/>
        </w:rPr>
        <w:t>DarkSky</w:t>
      </w:r>
      <w:proofErr w:type="spellEnd"/>
      <w:r>
        <w:rPr>
          <w:rFonts w:ascii="Cambria" w:hAnsi="Cambria"/>
          <w:color w:val="275317" w:themeColor="accent6" w:themeShade="80"/>
        </w:rPr>
        <w:t xml:space="preserve"> como requisito del producto</w:t>
      </w:r>
      <w:r w:rsidR="00F91646">
        <w:rPr>
          <w:rFonts w:ascii="Cambria" w:hAnsi="Cambria"/>
          <w:color w:val="275317" w:themeColor="accent6" w:themeShade="80"/>
        </w:rPr>
        <w:t>.</w:t>
      </w:r>
    </w:p>
    <w:p w14:paraId="137A8EDB" w14:textId="77777777" w:rsidR="00064BC0" w:rsidRDefault="00064BC0" w:rsidP="00E1521D">
      <w:pPr>
        <w:jc w:val="both"/>
        <w:rPr>
          <w:b/>
          <w:bCs/>
          <w:sz w:val="20"/>
          <w:szCs w:val="20"/>
        </w:rPr>
      </w:pPr>
    </w:p>
    <w:p w14:paraId="11D2373E" w14:textId="77777777" w:rsidR="00270E5F" w:rsidRDefault="00270E5F" w:rsidP="00E1521D">
      <w:pPr>
        <w:shd w:val="clear" w:color="auto" w:fill="E8E8E8" w:themeFill="background2"/>
        <w:jc w:val="both"/>
        <w:rPr>
          <w:b/>
          <w:bCs/>
        </w:rPr>
      </w:pPr>
      <w:r w:rsidRPr="004C3CC6">
        <w:rPr>
          <w:b/>
          <w:bCs/>
        </w:rPr>
        <w:t>Intervención</w:t>
      </w:r>
      <w:r>
        <w:rPr>
          <w:b/>
          <w:bCs/>
        </w:rPr>
        <w:t xml:space="preserve"> 27</w:t>
      </w:r>
      <w:r w:rsidRPr="004C3CC6">
        <w:rPr>
          <w:b/>
          <w:bCs/>
        </w:rPr>
        <w:t>:</w:t>
      </w:r>
    </w:p>
    <w:p w14:paraId="489E0EA7" w14:textId="77777777" w:rsidR="00270E5F" w:rsidRPr="004C3CC6" w:rsidRDefault="00270E5F" w:rsidP="00E1521D">
      <w:pPr>
        <w:shd w:val="clear" w:color="auto" w:fill="E8E8E8" w:themeFill="background2"/>
        <w:jc w:val="both"/>
        <w:rPr>
          <w:b/>
          <w:bCs/>
        </w:rPr>
      </w:pPr>
      <w:r w:rsidRPr="004C3CC6">
        <w:rPr>
          <w:b/>
          <w:bCs/>
        </w:rPr>
        <w:t xml:space="preserve">“Soy Daniel Alexander, del grupo </w:t>
      </w:r>
      <w:proofErr w:type="spellStart"/>
      <w:r w:rsidRPr="004C3CC6">
        <w:rPr>
          <w:b/>
          <w:bCs/>
        </w:rPr>
        <w:t>Teletec</w:t>
      </w:r>
      <w:proofErr w:type="spellEnd"/>
      <w:r w:rsidRPr="004C3CC6">
        <w:rPr>
          <w:b/>
          <w:bCs/>
        </w:rPr>
        <w:t xml:space="preserve"> de México. En caso de utilizar luminarias de origen mexicano, fabricadas en México, ¿podríamos de alguna forma homologar nuestras normas mexicanas para sustituir lo que serían IEC o normas ANSI?”</w:t>
      </w:r>
    </w:p>
    <w:p w14:paraId="4921CA84" w14:textId="77777777" w:rsidR="00F91646" w:rsidRDefault="00F91646" w:rsidP="00E1521D">
      <w:pPr>
        <w:jc w:val="both"/>
        <w:rPr>
          <w:b/>
          <w:bCs/>
        </w:rPr>
      </w:pPr>
    </w:p>
    <w:p w14:paraId="61871A23" w14:textId="57DD9782" w:rsidR="00F91646" w:rsidRPr="004C3CC6" w:rsidRDefault="00270E5F" w:rsidP="00E1521D">
      <w:pPr>
        <w:jc w:val="both"/>
      </w:pPr>
      <w:r w:rsidRPr="00F91646">
        <w:rPr>
          <w:b/>
          <w:bCs/>
        </w:rPr>
        <w:t>Respuesta:</w:t>
      </w:r>
    </w:p>
    <w:p w14:paraId="6345E8CD" w14:textId="0517E407" w:rsidR="00064BC0" w:rsidRDefault="00223A95" w:rsidP="00E1521D">
      <w:pPr>
        <w:jc w:val="both"/>
        <w:rPr>
          <w:color w:val="EE0000"/>
        </w:rPr>
      </w:pPr>
      <w:r w:rsidRPr="00F91646">
        <w:rPr>
          <w:rFonts w:ascii="Cambria" w:hAnsi="Cambria"/>
          <w:color w:val="275317" w:themeColor="accent6" w:themeShade="80"/>
        </w:rPr>
        <w:t xml:space="preserve">Solo se permitirán normas equivalentes </w:t>
      </w:r>
      <w:r w:rsidR="002E0E01" w:rsidRPr="00F91646">
        <w:rPr>
          <w:rFonts w:ascii="Cambria" w:hAnsi="Cambria"/>
          <w:color w:val="275317" w:themeColor="accent6" w:themeShade="80"/>
        </w:rPr>
        <w:t xml:space="preserve">emitida por órgano competente </w:t>
      </w:r>
      <w:r w:rsidRPr="00F91646">
        <w:rPr>
          <w:rFonts w:ascii="Cambria" w:hAnsi="Cambria"/>
          <w:color w:val="275317" w:themeColor="accent6" w:themeShade="80"/>
        </w:rPr>
        <w:t>a las solicitadas tal y como indica el pliego</w:t>
      </w:r>
      <w:r w:rsidR="00A64D31" w:rsidRPr="00F91646">
        <w:rPr>
          <w:rFonts w:ascii="Cambria" w:hAnsi="Cambria"/>
          <w:color w:val="275317" w:themeColor="accent6" w:themeShade="80"/>
        </w:rPr>
        <w:t xml:space="preserve"> y con acuerdos de homologación con los entes certificadores de nuestra zona geográfica.</w:t>
      </w:r>
    </w:p>
    <w:p w14:paraId="3F2F9847" w14:textId="76F17C95" w:rsidR="00270E5F" w:rsidRDefault="00270E5F" w:rsidP="00E1521D">
      <w:pPr>
        <w:jc w:val="both"/>
        <w:rPr>
          <w:b/>
          <w:bCs/>
        </w:rPr>
      </w:pPr>
    </w:p>
    <w:p w14:paraId="2945511F" w14:textId="77777777" w:rsidR="00064BC0" w:rsidRDefault="00064BC0" w:rsidP="00E1521D">
      <w:pPr>
        <w:jc w:val="both"/>
        <w:rPr>
          <w:b/>
          <w:bCs/>
        </w:rPr>
      </w:pPr>
    </w:p>
    <w:p w14:paraId="1FF1A35A" w14:textId="77777777" w:rsidR="00270E5F" w:rsidRPr="003A3F22" w:rsidRDefault="00270E5F" w:rsidP="00E1521D">
      <w:pPr>
        <w:shd w:val="clear" w:color="auto" w:fill="E8E8E8" w:themeFill="background2"/>
        <w:jc w:val="both"/>
        <w:rPr>
          <w:b/>
          <w:bCs/>
        </w:rPr>
      </w:pPr>
      <w:r w:rsidRPr="00BD7212">
        <w:rPr>
          <w:b/>
          <w:bCs/>
        </w:rPr>
        <w:t>Intervención</w:t>
      </w:r>
      <w:r w:rsidRPr="003A3F22">
        <w:rPr>
          <w:b/>
          <w:bCs/>
        </w:rPr>
        <w:t xml:space="preserve"> 28</w:t>
      </w:r>
      <w:r w:rsidRPr="00BD7212">
        <w:rPr>
          <w:b/>
          <w:bCs/>
        </w:rPr>
        <w:t>:</w:t>
      </w:r>
    </w:p>
    <w:p w14:paraId="14147915" w14:textId="77777777" w:rsidR="00270E5F" w:rsidRPr="00BD7212" w:rsidRDefault="00270E5F" w:rsidP="00E1521D">
      <w:pPr>
        <w:shd w:val="clear" w:color="auto" w:fill="E8E8E8" w:themeFill="background2"/>
        <w:jc w:val="both"/>
        <w:rPr>
          <w:b/>
          <w:bCs/>
        </w:rPr>
      </w:pPr>
      <w:r w:rsidRPr="00753969">
        <w:rPr>
          <w:b/>
          <w:bCs/>
        </w:rPr>
        <w:t>“Mi nombre es Luis Borges. Dentro de los requerimientos técnicos se requieren que se cumplan con normativas europeas y norteamericanas simultáneamente. La pregunta es: ¿hay que cumplir con ambas normativas en una única luminaria o es suficiente que se cumpla con la normativa de Estados Unidos o europea o su equivalente?”</w:t>
      </w:r>
    </w:p>
    <w:p w14:paraId="7692F69F" w14:textId="77777777" w:rsidR="00F91646" w:rsidRDefault="00F91646" w:rsidP="00E1521D">
      <w:pPr>
        <w:jc w:val="both"/>
        <w:rPr>
          <w:b/>
          <w:bCs/>
        </w:rPr>
      </w:pPr>
    </w:p>
    <w:p w14:paraId="7075D5BF" w14:textId="11217340" w:rsidR="00270E5F" w:rsidRDefault="00270E5F" w:rsidP="00E1521D">
      <w:pPr>
        <w:jc w:val="both"/>
      </w:pPr>
      <w:r w:rsidRPr="00BD7212">
        <w:rPr>
          <w:b/>
          <w:bCs/>
        </w:rPr>
        <w:t>Respuesta:</w:t>
      </w:r>
    </w:p>
    <w:p w14:paraId="2614A76C" w14:textId="77777777" w:rsidR="00A64D31" w:rsidRDefault="00A64D31" w:rsidP="00A64D31">
      <w:pPr>
        <w:jc w:val="both"/>
        <w:rPr>
          <w:color w:val="EE0000"/>
        </w:rPr>
      </w:pPr>
      <w:r w:rsidRPr="00F91646">
        <w:rPr>
          <w:rFonts w:ascii="Cambria" w:hAnsi="Cambria"/>
          <w:color w:val="275317" w:themeColor="accent6" w:themeShade="80"/>
        </w:rPr>
        <w:t>Solo se permitirán normas equivalentes emitida por órgano competente a las solicitadas tal y como indica el pliego y con acuerdos de homologación con los entes certificadores de nuestra zona geográfica.</w:t>
      </w:r>
    </w:p>
    <w:p w14:paraId="527D2581" w14:textId="77777777" w:rsidR="00A64D31" w:rsidRDefault="00A64D31" w:rsidP="00E1521D">
      <w:pPr>
        <w:jc w:val="both"/>
        <w:rPr>
          <w:color w:val="EE0000"/>
        </w:rPr>
      </w:pPr>
    </w:p>
    <w:p w14:paraId="12E3213B" w14:textId="77777777" w:rsidR="00270E5F" w:rsidRPr="004B2420" w:rsidRDefault="00270E5F" w:rsidP="00E1521D">
      <w:pPr>
        <w:pBdr>
          <w:bottom w:val="dotted" w:sz="24" w:space="1" w:color="auto"/>
        </w:pBdr>
        <w:jc w:val="both"/>
      </w:pPr>
    </w:p>
    <w:p w14:paraId="7EDE6647" w14:textId="77777777" w:rsidR="00610A4E" w:rsidRDefault="00610A4E" w:rsidP="00E1521D">
      <w:pPr>
        <w:pBdr>
          <w:bottom w:val="dotted" w:sz="24" w:space="1" w:color="auto"/>
        </w:pBdr>
        <w:jc w:val="both"/>
      </w:pPr>
    </w:p>
    <w:p w14:paraId="224CD731" w14:textId="77777777" w:rsidR="0060146D" w:rsidRDefault="0060146D" w:rsidP="00E1521D">
      <w:pPr>
        <w:shd w:val="clear" w:color="auto" w:fill="E8E8E8" w:themeFill="background2"/>
        <w:jc w:val="both"/>
        <w:rPr>
          <w:b/>
          <w:bCs/>
        </w:rPr>
      </w:pPr>
      <w:r w:rsidRPr="00471AAF">
        <w:rPr>
          <w:b/>
          <w:bCs/>
        </w:rPr>
        <w:t>Intervención</w:t>
      </w:r>
      <w:r>
        <w:rPr>
          <w:b/>
          <w:bCs/>
        </w:rPr>
        <w:t xml:space="preserve"> 30</w:t>
      </w:r>
      <w:r w:rsidRPr="00471AAF">
        <w:rPr>
          <w:b/>
          <w:bCs/>
        </w:rPr>
        <w:t>:</w:t>
      </w:r>
    </w:p>
    <w:p w14:paraId="78E83FD3" w14:textId="77777777" w:rsidR="0060146D" w:rsidRPr="00471AAF" w:rsidRDefault="0060146D" w:rsidP="00E1521D">
      <w:pPr>
        <w:shd w:val="clear" w:color="auto" w:fill="E8E8E8" w:themeFill="background2"/>
        <w:jc w:val="both"/>
        <w:rPr>
          <w:b/>
          <w:bCs/>
        </w:rPr>
      </w:pPr>
      <w:r w:rsidRPr="003F69BC">
        <w:rPr>
          <w:b/>
          <w:bCs/>
        </w:rPr>
        <w:t>“¿Cuál es el área aproximada que se debe considerar en el almacén para resguardar temporalmente las luminarias y materiales retirados?”</w:t>
      </w:r>
    </w:p>
    <w:p w14:paraId="358445EE" w14:textId="77777777" w:rsidR="00F91646" w:rsidRDefault="00F91646" w:rsidP="00E1521D">
      <w:pPr>
        <w:jc w:val="both"/>
        <w:rPr>
          <w:b/>
          <w:bCs/>
        </w:rPr>
      </w:pPr>
    </w:p>
    <w:p w14:paraId="00E5775E" w14:textId="4E61C6EC" w:rsidR="0060146D" w:rsidRDefault="0060146D" w:rsidP="00E1521D">
      <w:pPr>
        <w:jc w:val="both"/>
      </w:pPr>
      <w:r w:rsidRPr="00471AAF">
        <w:rPr>
          <w:b/>
          <w:bCs/>
        </w:rPr>
        <w:t>Respuesta:</w:t>
      </w:r>
      <w:r w:rsidRPr="00471AAF">
        <w:rPr>
          <w:b/>
          <w:bCs/>
        </w:rPr>
        <w:br/>
      </w:r>
      <w:r w:rsidRPr="00555472">
        <w:t>El requerimiento de almacenamiento está definido en la Declaración de Trabajo, donde se establece el espacio total de almacén requerido para el proyecto, incluyendo el manejo de materiales nuevos y retirados. No se contempla un metraje específico separado para estos últimos. Asimismo, se establece el mecanismo para la entrega de las luminarias retiradas a las EDE.</w:t>
      </w:r>
    </w:p>
    <w:p w14:paraId="1C502AFD" w14:textId="77777777" w:rsidR="00064BC0" w:rsidRPr="00471AAF" w:rsidRDefault="00064BC0" w:rsidP="00E1521D">
      <w:pPr>
        <w:jc w:val="both"/>
        <w:rPr>
          <w:b/>
          <w:bCs/>
        </w:rPr>
      </w:pPr>
    </w:p>
    <w:p w14:paraId="7E211268" w14:textId="77777777" w:rsidR="0060146D" w:rsidRDefault="0060146D" w:rsidP="00E1521D">
      <w:pPr>
        <w:jc w:val="both"/>
        <w:rPr>
          <w:b/>
          <w:bCs/>
          <w:sz w:val="20"/>
          <w:szCs w:val="20"/>
        </w:rPr>
      </w:pPr>
    </w:p>
    <w:p w14:paraId="55CC2800" w14:textId="77777777" w:rsidR="0060146D" w:rsidRDefault="0060146D" w:rsidP="00E1521D">
      <w:pPr>
        <w:shd w:val="clear" w:color="auto" w:fill="E8E8E8" w:themeFill="background2"/>
        <w:jc w:val="both"/>
        <w:rPr>
          <w:b/>
          <w:bCs/>
        </w:rPr>
      </w:pPr>
      <w:r w:rsidRPr="004379A2">
        <w:rPr>
          <w:b/>
          <w:bCs/>
        </w:rPr>
        <w:t>Intervención</w:t>
      </w:r>
      <w:r>
        <w:rPr>
          <w:b/>
          <w:bCs/>
        </w:rPr>
        <w:t xml:space="preserve"> 31</w:t>
      </w:r>
      <w:r w:rsidRPr="004379A2">
        <w:rPr>
          <w:b/>
          <w:bCs/>
        </w:rPr>
        <w:t>:</w:t>
      </w:r>
    </w:p>
    <w:p w14:paraId="142775EC" w14:textId="77777777" w:rsidR="0060146D" w:rsidRDefault="0060146D" w:rsidP="00E1521D">
      <w:pPr>
        <w:shd w:val="clear" w:color="auto" w:fill="E8E8E8" w:themeFill="background2"/>
        <w:jc w:val="both"/>
        <w:rPr>
          <w:b/>
          <w:bCs/>
        </w:rPr>
      </w:pPr>
      <w:r w:rsidRPr="009A3F92">
        <w:rPr>
          <w:b/>
          <w:bCs/>
        </w:rPr>
        <w:t>“Mi nombre es Nelson Millán, de Megaproyectos de Colombia. Teniendo en cuenta que se está solicitando una garantía de 8 años, es importante considerar que los fabricantes de luminarias generalmente condicionan dicha garantía a la existencia de un sistema adecuado de puesta a tierra, ya que la ausencia de este puede generar fallas por descargas atmosféricas y afectar la seguridad de los operadores.</w:t>
      </w:r>
    </w:p>
    <w:p w14:paraId="48E3A41E" w14:textId="77777777" w:rsidR="0060146D" w:rsidRPr="009A3F92" w:rsidRDefault="0060146D" w:rsidP="00E1521D">
      <w:pPr>
        <w:shd w:val="clear" w:color="auto" w:fill="E8E8E8" w:themeFill="background2"/>
        <w:jc w:val="both"/>
        <w:rPr>
          <w:b/>
          <w:bCs/>
        </w:rPr>
      </w:pPr>
      <w:r w:rsidRPr="009A3F92">
        <w:rPr>
          <w:b/>
          <w:bCs/>
        </w:rPr>
        <w:t xml:space="preserve">¿Se ha considerado dentro del alcance del proyecto la implementación de un sistema de </w:t>
      </w:r>
      <w:proofErr w:type="spellStart"/>
      <w:r w:rsidRPr="009A3F92">
        <w:rPr>
          <w:b/>
          <w:bCs/>
        </w:rPr>
        <w:t>uesta</w:t>
      </w:r>
      <w:proofErr w:type="spellEnd"/>
      <w:r w:rsidRPr="009A3F92">
        <w:rPr>
          <w:b/>
          <w:bCs/>
        </w:rPr>
        <w:t xml:space="preserve"> a tierra que permita respaldar la garantía exigida? Igualmente, no se ve </w:t>
      </w:r>
      <w:r w:rsidRPr="009A3F92">
        <w:rPr>
          <w:b/>
          <w:bCs/>
        </w:rPr>
        <w:lastRenderedPageBreak/>
        <w:t>reflejado en los formularios económicos cómo relacionar los costos que implican el suministro e instalación.”</w:t>
      </w:r>
    </w:p>
    <w:p w14:paraId="3D80CF33" w14:textId="77777777" w:rsidR="00F91646" w:rsidRDefault="00F91646" w:rsidP="00E1521D">
      <w:pPr>
        <w:jc w:val="both"/>
        <w:rPr>
          <w:b/>
          <w:bCs/>
        </w:rPr>
      </w:pPr>
    </w:p>
    <w:p w14:paraId="779CBAD2" w14:textId="350FE2E9" w:rsidR="001A334D" w:rsidRPr="00F91646" w:rsidRDefault="0060146D" w:rsidP="00E1521D">
      <w:pPr>
        <w:jc w:val="both"/>
        <w:rPr>
          <w:b/>
          <w:bCs/>
        </w:rPr>
      </w:pPr>
      <w:r w:rsidRPr="00F91646">
        <w:rPr>
          <w:b/>
          <w:bCs/>
          <w:highlight w:val="green"/>
        </w:rPr>
        <w:t>Respuesta:</w:t>
      </w:r>
    </w:p>
    <w:p w14:paraId="4E512DCC" w14:textId="7FA9EDAC" w:rsidR="00064BC0" w:rsidRPr="00F91646" w:rsidRDefault="001A334D" w:rsidP="00E1521D">
      <w:pPr>
        <w:jc w:val="both"/>
        <w:rPr>
          <w:color w:val="EE0000"/>
        </w:rPr>
      </w:pPr>
      <w:r w:rsidRPr="00F91646">
        <w:rPr>
          <w:rFonts w:ascii="Cambria" w:hAnsi="Cambria"/>
          <w:color w:val="275317" w:themeColor="accent6" w:themeShade="80"/>
        </w:rPr>
        <w:t>Es necesario que las luminarias sean de Clase II</w:t>
      </w:r>
      <w:r w:rsidR="00F91646" w:rsidRPr="00F91646">
        <w:rPr>
          <w:rFonts w:ascii="Cambria" w:hAnsi="Cambria"/>
          <w:color w:val="275317" w:themeColor="accent6" w:themeShade="80"/>
        </w:rPr>
        <w:t>.</w:t>
      </w:r>
    </w:p>
    <w:p w14:paraId="59E2183F" w14:textId="77777777" w:rsidR="00610A4E" w:rsidRDefault="00610A4E" w:rsidP="00E1521D">
      <w:pPr>
        <w:pBdr>
          <w:bottom w:val="dotted" w:sz="24" w:space="1" w:color="auto"/>
        </w:pBdr>
        <w:jc w:val="both"/>
      </w:pPr>
    </w:p>
    <w:p w14:paraId="2D50A76D" w14:textId="77777777" w:rsidR="00FD0C8B" w:rsidRDefault="00FD0C8B" w:rsidP="00E1521D">
      <w:pPr>
        <w:shd w:val="clear" w:color="auto" w:fill="E8E8E8" w:themeFill="background2"/>
        <w:jc w:val="both"/>
        <w:rPr>
          <w:b/>
          <w:bCs/>
        </w:rPr>
      </w:pPr>
      <w:r w:rsidRPr="00471AAF">
        <w:rPr>
          <w:b/>
          <w:bCs/>
        </w:rPr>
        <w:t>Intervención</w:t>
      </w:r>
      <w:r>
        <w:rPr>
          <w:b/>
          <w:bCs/>
        </w:rPr>
        <w:t xml:space="preserve"> 33</w:t>
      </w:r>
      <w:r w:rsidRPr="00471AAF">
        <w:rPr>
          <w:b/>
          <w:bCs/>
        </w:rPr>
        <w:t>:</w:t>
      </w:r>
    </w:p>
    <w:p w14:paraId="0A33C5D6" w14:textId="77777777" w:rsidR="00FD0C8B" w:rsidRDefault="00FD0C8B" w:rsidP="00E1521D">
      <w:pPr>
        <w:shd w:val="clear" w:color="auto" w:fill="E8E8E8" w:themeFill="background2"/>
        <w:jc w:val="both"/>
        <w:rPr>
          <w:b/>
          <w:bCs/>
        </w:rPr>
      </w:pPr>
      <w:r w:rsidRPr="00B822D7">
        <w:rPr>
          <w:b/>
          <w:bCs/>
        </w:rPr>
        <w:t xml:space="preserve">“Con respecto a los puntos 11 y 12 del documento PDTG para luminarias LED y luminarias LED alimentadas por batería: ¿cuántas muestras deben presentarse por cada potencia nominal?, ¿cuándo está programada la demostración? y ¿cuál es </w:t>
      </w:r>
    </w:p>
    <w:p w14:paraId="7F394FEC" w14:textId="77777777" w:rsidR="00FD0C8B" w:rsidRPr="00B822D7" w:rsidRDefault="00FD0C8B" w:rsidP="00E1521D">
      <w:pPr>
        <w:shd w:val="clear" w:color="auto" w:fill="E8E8E8" w:themeFill="background2"/>
        <w:jc w:val="both"/>
        <w:rPr>
          <w:b/>
          <w:bCs/>
        </w:rPr>
      </w:pPr>
      <w:r w:rsidRPr="00B822D7">
        <w:rPr>
          <w:b/>
          <w:bCs/>
        </w:rPr>
        <w:t>la ubicación designada para la demostración?”</w:t>
      </w:r>
    </w:p>
    <w:p w14:paraId="156236A9" w14:textId="77777777" w:rsidR="00F91646" w:rsidRDefault="00F91646" w:rsidP="00E1521D">
      <w:pPr>
        <w:jc w:val="both"/>
        <w:rPr>
          <w:b/>
          <w:bCs/>
        </w:rPr>
      </w:pPr>
    </w:p>
    <w:p w14:paraId="54BBFEE1" w14:textId="46E68AA8" w:rsidR="00FD0C8B" w:rsidRPr="00B822D7" w:rsidRDefault="00FD0C8B" w:rsidP="00E1521D">
      <w:pPr>
        <w:jc w:val="both"/>
        <w:rPr>
          <w:b/>
          <w:bCs/>
        </w:rPr>
      </w:pPr>
      <w:r w:rsidRPr="00B822D7">
        <w:rPr>
          <w:b/>
          <w:bCs/>
        </w:rPr>
        <w:t>Respuesta:</w:t>
      </w:r>
    </w:p>
    <w:p w14:paraId="5D8E63A1" w14:textId="77777777" w:rsidR="00064BC0" w:rsidRDefault="00064BC0" w:rsidP="00E1521D">
      <w:pPr>
        <w:jc w:val="both"/>
        <w:rPr>
          <w:color w:val="EE0000"/>
        </w:rPr>
      </w:pPr>
      <w:r>
        <w:rPr>
          <w:rFonts w:ascii="Cambria" w:hAnsi="Cambria"/>
          <w:color w:val="275317" w:themeColor="accent6" w:themeShade="80"/>
        </w:rPr>
        <w:t xml:space="preserve">Se repite. Ya respuesta. </w:t>
      </w:r>
    </w:p>
    <w:p w14:paraId="2FBF6B91" w14:textId="77777777" w:rsidR="00064BC0" w:rsidRDefault="00064BC0" w:rsidP="00E1521D">
      <w:pPr>
        <w:jc w:val="both"/>
      </w:pPr>
    </w:p>
    <w:p w14:paraId="629A6333" w14:textId="77777777" w:rsidR="00FD0C8B" w:rsidRDefault="00FD0C8B" w:rsidP="00E1521D">
      <w:pPr>
        <w:shd w:val="clear" w:color="auto" w:fill="E8E8E8" w:themeFill="background2"/>
        <w:jc w:val="both"/>
        <w:rPr>
          <w:b/>
          <w:bCs/>
        </w:rPr>
      </w:pPr>
      <w:r w:rsidRPr="00753969">
        <w:rPr>
          <w:b/>
          <w:bCs/>
        </w:rPr>
        <w:t>Intervención</w:t>
      </w:r>
      <w:r>
        <w:rPr>
          <w:b/>
          <w:bCs/>
        </w:rPr>
        <w:t xml:space="preserve"> 34</w:t>
      </w:r>
      <w:r w:rsidRPr="00753969">
        <w:rPr>
          <w:b/>
          <w:bCs/>
        </w:rPr>
        <w:t>:</w:t>
      </w:r>
    </w:p>
    <w:p w14:paraId="57DC931D" w14:textId="77777777" w:rsidR="00FD0C8B" w:rsidRPr="00367507" w:rsidRDefault="00FD0C8B" w:rsidP="00E1521D">
      <w:pPr>
        <w:shd w:val="clear" w:color="auto" w:fill="E8E8E8" w:themeFill="background2"/>
        <w:jc w:val="both"/>
        <w:rPr>
          <w:b/>
          <w:bCs/>
        </w:rPr>
      </w:pPr>
      <w:r w:rsidRPr="00367507">
        <w:rPr>
          <w:b/>
          <w:bCs/>
        </w:rPr>
        <w:t>“El BOQ no hace mención de ninguna necesidad de muestras; la PDTG, sin embargo, dice ‘muestras requeridas’, pero no se indica ni fecha, ni hora, ni dónde se entregan, ni si es una por potencia, ni si son por tipo de luminaria o por lote. Esa parte sería importante aclararla. Además, de eso depende también el tiempo de entrega que puedan tener los fabricantes, porque cada uno tomaría su tiempo para preparar y remitir esas muestras.”</w:t>
      </w:r>
    </w:p>
    <w:p w14:paraId="39DAFF1D" w14:textId="77777777" w:rsidR="00F91646" w:rsidRDefault="00F91646" w:rsidP="00E1521D">
      <w:pPr>
        <w:shd w:val="clear" w:color="auto" w:fill="FFFFFF" w:themeFill="background1"/>
        <w:jc w:val="both"/>
        <w:rPr>
          <w:b/>
          <w:bCs/>
        </w:rPr>
      </w:pPr>
    </w:p>
    <w:p w14:paraId="4404957A" w14:textId="6FC02868" w:rsidR="00FD0C8B" w:rsidRPr="00367507" w:rsidRDefault="00FD0C8B" w:rsidP="00E1521D">
      <w:pPr>
        <w:shd w:val="clear" w:color="auto" w:fill="FFFFFF" w:themeFill="background1"/>
        <w:jc w:val="both"/>
        <w:rPr>
          <w:b/>
          <w:bCs/>
        </w:rPr>
      </w:pPr>
      <w:r w:rsidRPr="00367507">
        <w:rPr>
          <w:b/>
          <w:bCs/>
        </w:rPr>
        <w:t>Respuesta:</w:t>
      </w:r>
    </w:p>
    <w:p w14:paraId="55D7C5A6" w14:textId="10261829" w:rsidR="00AE78D8" w:rsidRDefault="00AE78D8" w:rsidP="00AE78D8">
      <w:pPr>
        <w:jc w:val="both"/>
        <w:rPr>
          <w:u w:val="single"/>
        </w:rPr>
      </w:pPr>
      <w:r w:rsidRPr="000F1A93">
        <w:rPr>
          <w:rFonts w:ascii="Cambria" w:hAnsi="Cambria"/>
          <w:color w:val="275317" w:themeColor="accent6" w:themeShade="80"/>
        </w:rPr>
        <w:t xml:space="preserve">Las muestras se solicitarán tras </w:t>
      </w:r>
      <w:r>
        <w:rPr>
          <w:rFonts w:ascii="Cambria" w:hAnsi="Cambria"/>
          <w:color w:val="275317" w:themeColor="accent6" w:themeShade="80"/>
        </w:rPr>
        <w:t>la</w:t>
      </w:r>
      <w:r w:rsidRPr="000F1A93">
        <w:rPr>
          <w:rFonts w:ascii="Cambria" w:hAnsi="Cambria"/>
          <w:color w:val="275317" w:themeColor="accent6" w:themeShade="80"/>
        </w:rPr>
        <w:t xml:space="preserve"> adjudicación parcial y antes de la adjudicación definitiva; para cada lote, la entidad contratante indicará las unidades y características requeridas de los equipos de muestra, otorgando además un plazo suficiente para su entrega.</w:t>
      </w:r>
      <w:r>
        <w:rPr>
          <w:rFonts w:ascii="Cambria" w:hAnsi="Cambria"/>
          <w:color w:val="275317" w:themeColor="accent6" w:themeShade="80"/>
        </w:rPr>
        <w:t xml:space="preserve"> </w:t>
      </w:r>
      <w:r w:rsidRPr="00F91646">
        <w:rPr>
          <w:rFonts w:ascii="Cambria" w:hAnsi="Cambria"/>
          <w:color w:val="275317" w:themeColor="accent6" w:themeShade="80"/>
        </w:rPr>
        <w:t xml:space="preserve">Se entregará una muestra de cada </w:t>
      </w:r>
      <w:r w:rsidR="00F91646" w:rsidRPr="00F91646">
        <w:rPr>
          <w:rFonts w:ascii="Cambria" w:hAnsi="Cambria"/>
          <w:color w:val="275317" w:themeColor="accent6" w:themeShade="80"/>
        </w:rPr>
        <w:t>potencia</w:t>
      </w:r>
      <w:r w:rsidRPr="00F91646">
        <w:rPr>
          <w:rFonts w:ascii="Cambria" w:hAnsi="Cambria"/>
          <w:color w:val="275317" w:themeColor="accent6" w:themeShade="80"/>
        </w:rPr>
        <w:t xml:space="preserve"> ofertada en el plazo de </w:t>
      </w:r>
      <w:r w:rsidR="00F91646" w:rsidRPr="00F91646">
        <w:rPr>
          <w:rFonts w:ascii="Cambria" w:hAnsi="Cambria"/>
          <w:color w:val="275317" w:themeColor="accent6" w:themeShade="80"/>
        </w:rPr>
        <w:t xml:space="preserve">21 días calendario </w:t>
      </w:r>
      <w:r w:rsidRPr="00F91646">
        <w:rPr>
          <w:rFonts w:ascii="Cambria" w:hAnsi="Cambria"/>
          <w:color w:val="275317" w:themeColor="accent6" w:themeShade="80"/>
        </w:rPr>
        <w:t>desde la adjudicación definitiva</w:t>
      </w:r>
      <w:r w:rsidR="00F91646">
        <w:rPr>
          <w:rFonts w:ascii="Cambria" w:hAnsi="Cambria"/>
          <w:color w:val="275317" w:themeColor="accent6" w:themeShade="80"/>
        </w:rPr>
        <w:t>.</w:t>
      </w:r>
    </w:p>
    <w:p w14:paraId="6408D370" w14:textId="48A750E9" w:rsidR="00441AA2" w:rsidRDefault="00441AA2" w:rsidP="00E1521D">
      <w:pPr>
        <w:jc w:val="both"/>
        <w:rPr>
          <w:color w:val="EE0000"/>
        </w:rPr>
      </w:pPr>
      <w:r>
        <w:rPr>
          <w:rFonts w:ascii="Cambria" w:hAnsi="Cambria"/>
          <w:color w:val="275317" w:themeColor="accent6" w:themeShade="80"/>
        </w:rPr>
        <w:t xml:space="preserve">. </w:t>
      </w:r>
    </w:p>
    <w:p w14:paraId="0AFF56F0" w14:textId="3A90FC0B" w:rsidR="00FD0C8B" w:rsidRDefault="00FD0C8B" w:rsidP="00E1521D">
      <w:pPr>
        <w:jc w:val="both"/>
      </w:pPr>
    </w:p>
    <w:p w14:paraId="672202B1" w14:textId="77777777" w:rsidR="00064BC0" w:rsidRPr="00B822D7" w:rsidRDefault="00064BC0" w:rsidP="00E1521D">
      <w:pPr>
        <w:jc w:val="both"/>
      </w:pPr>
    </w:p>
    <w:p w14:paraId="00B6F003" w14:textId="77777777" w:rsidR="00FD0C8B" w:rsidRDefault="00FD0C8B" w:rsidP="00E1521D">
      <w:pPr>
        <w:jc w:val="both"/>
        <w:rPr>
          <w:b/>
          <w:bCs/>
        </w:rPr>
      </w:pPr>
      <w:r w:rsidRPr="00A575C8">
        <w:rPr>
          <w:b/>
          <w:bCs/>
        </w:rPr>
        <w:t>BLOQUE 7. PLAZOS Y PROCESO</w:t>
      </w:r>
    </w:p>
    <w:p w14:paraId="052246C2" w14:textId="77777777" w:rsidR="00FD0C8B" w:rsidRDefault="00FD0C8B" w:rsidP="00E1521D">
      <w:pPr>
        <w:shd w:val="clear" w:color="auto" w:fill="E8E8E8" w:themeFill="background2"/>
        <w:jc w:val="both"/>
        <w:rPr>
          <w:b/>
          <w:bCs/>
        </w:rPr>
      </w:pPr>
      <w:r w:rsidRPr="00471AAF">
        <w:rPr>
          <w:b/>
          <w:bCs/>
        </w:rPr>
        <w:t>Intervención</w:t>
      </w:r>
      <w:r>
        <w:rPr>
          <w:b/>
          <w:bCs/>
        </w:rPr>
        <w:t xml:space="preserve"> 35</w:t>
      </w:r>
      <w:r w:rsidRPr="00471AAF">
        <w:rPr>
          <w:b/>
          <w:bCs/>
        </w:rPr>
        <w:t>:</w:t>
      </w:r>
    </w:p>
    <w:p w14:paraId="0F0145A4" w14:textId="77777777" w:rsidR="00FD0C8B" w:rsidRPr="00FE1802" w:rsidRDefault="00FD0C8B" w:rsidP="00E1521D">
      <w:pPr>
        <w:shd w:val="clear" w:color="auto" w:fill="E8E8E8" w:themeFill="background2"/>
        <w:jc w:val="both"/>
        <w:rPr>
          <w:b/>
          <w:bCs/>
        </w:rPr>
      </w:pPr>
      <w:r w:rsidRPr="00EC4016">
        <w:rPr>
          <w:b/>
          <w:bCs/>
        </w:rPr>
        <w:t>“¿Se va a estudiar la posibilidad de aplazar la entrega de las propuestas, teniendo en cuenta la gran cantidad de preguntas técnicas?”</w:t>
      </w:r>
    </w:p>
    <w:p w14:paraId="749887AE" w14:textId="77777777" w:rsidR="00F91646" w:rsidRDefault="00F91646" w:rsidP="00E1521D">
      <w:pPr>
        <w:jc w:val="both"/>
        <w:rPr>
          <w:b/>
          <w:bCs/>
        </w:rPr>
      </w:pPr>
    </w:p>
    <w:p w14:paraId="3ED9564A" w14:textId="20799D69" w:rsidR="00FD0C8B" w:rsidRPr="00EC4016" w:rsidRDefault="00FD0C8B" w:rsidP="00E1521D">
      <w:pPr>
        <w:jc w:val="both"/>
        <w:rPr>
          <w:b/>
          <w:bCs/>
        </w:rPr>
      </w:pPr>
      <w:r w:rsidRPr="00EC4016">
        <w:rPr>
          <w:b/>
          <w:bCs/>
        </w:rPr>
        <w:t>Respuesta:</w:t>
      </w:r>
    </w:p>
    <w:p w14:paraId="7D67DF12" w14:textId="77777777" w:rsidR="00441AA2" w:rsidRDefault="00441AA2" w:rsidP="00E1521D">
      <w:pPr>
        <w:jc w:val="both"/>
        <w:rPr>
          <w:color w:val="EE0000"/>
        </w:rPr>
      </w:pPr>
      <w:r>
        <w:rPr>
          <w:rFonts w:ascii="Cambria" w:hAnsi="Cambria"/>
          <w:color w:val="275317" w:themeColor="accent6" w:themeShade="80"/>
        </w:rPr>
        <w:t xml:space="preserve">Se repite. Ya respuesta. </w:t>
      </w:r>
    </w:p>
    <w:p w14:paraId="573DEADC" w14:textId="77777777" w:rsidR="00441AA2" w:rsidRPr="00424102" w:rsidRDefault="00441AA2" w:rsidP="00E1521D">
      <w:pPr>
        <w:jc w:val="both"/>
      </w:pPr>
    </w:p>
    <w:p w14:paraId="09020399" w14:textId="77777777" w:rsidR="00FD0C8B" w:rsidRDefault="00FD0C8B" w:rsidP="00E1521D">
      <w:pPr>
        <w:pBdr>
          <w:bottom w:val="dotted" w:sz="24" w:space="1" w:color="auto"/>
        </w:pBdr>
        <w:jc w:val="both"/>
      </w:pPr>
    </w:p>
    <w:p w14:paraId="3C4C1E8B" w14:textId="77777777" w:rsidR="001C78B1" w:rsidRDefault="001C78B1" w:rsidP="00E1521D">
      <w:pPr>
        <w:shd w:val="clear" w:color="auto" w:fill="E8E8E8" w:themeFill="background2"/>
        <w:jc w:val="both"/>
        <w:rPr>
          <w:b/>
          <w:bCs/>
        </w:rPr>
      </w:pPr>
      <w:r w:rsidRPr="00753969">
        <w:rPr>
          <w:b/>
          <w:bCs/>
        </w:rPr>
        <w:t>Intervención</w:t>
      </w:r>
      <w:r>
        <w:rPr>
          <w:b/>
          <w:bCs/>
        </w:rPr>
        <w:t xml:space="preserve"> 48</w:t>
      </w:r>
      <w:r w:rsidRPr="00753969">
        <w:rPr>
          <w:b/>
          <w:bCs/>
        </w:rPr>
        <w:t>:</w:t>
      </w:r>
    </w:p>
    <w:p w14:paraId="4F3C9FB9" w14:textId="77777777" w:rsidR="001C78B1" w:rsidRPr="00930411" w:rsidRDefault="001C78B1" w:rsidP="00E1521D">
      <w:pPr>
        <w:shd w:val="clear" w:color="auto" w:fill="E8E8E8" w:themeFill="background2"/>
        <w:jc w:val="both"/>
        <w:rPr>
          <w:b/>
          <w:bCs/>
        </w:rPr>
      </w:pPr>
      <w:r w:rsidRPr="00930411">
        <w:rPr>
          <w:b/>
          <w:bCs/>
        </w:rPr>
        <w:t>“Mi nombre es Jorge Alemán. En relación con el requisito de las 250 mil luminarias, en el pliego se hace referencia a ‘ciudad/red’.</w:t>
      </w:r>
      <w:r>
        <w:rPr>
          <w:b/>
          <w:bCs/>
        </w:rPr>
        <w:t xml:space="preserve"> </w:t>
      </w:r>
      <w:r w:rsidRPr="00930411">
        <w:rPr>
          <w:b/>
          <w:bCs/>
        </w:rPr>
        <w:t>La consulta es cómo debe interpretarse ese concepto, es decir, si se refiere a una ciudad como unidad territorial o a una red de alumbrado, independientemente de su delimitación geográfica.”</w:t>
      </w:r>
    </w:p>
    <w:p w14:paraId="2182C8D0" w14:textId="77777777" w:rsidR="00F91646" w:rsidRDefault="00F91646" w:rsidP="00E1521D">
      <w:pPr>
        <w:jc w:val="both"/>
        <w:rPr>
          <w:b/>
          <w:bCs/>
        </w:rPr>
      </w:pPr>
    </w:p>
    <w:p w14:paraId="17464491" w14:textId="77777777" w:rsidR="00F91646" w:rsidRDefault="00F91646" w:rsidP="00E1521D">
      <w:pPr>
        <w:jc w:val="both"/>
        <w:rPr>
          <w:b/>
          <w:bCs/>
        </w:rPr>
      </w:pPr>
    </w:p>
    <w:p w14:paraId="63C86541" w14:textId="315EA755" w:rsidR="001C78B1" w:rsidRPr="00930411" w:rsidRDefault="001C78B1" w:rsidP="00E1521D">
      <w:pPr>
        <w:jc w:val="both"/>
        <w:rPr>
          <w:b/>
          <w:bCs/>
        </w:rPr>
      </w:pPr>
      <w:r w:rsidRPr="00930411">
        <w:rPr>
          <w:b/>
          <w:bCs/>
        </w:rPr>
        <w:lastRenderedPageBreak/>
        <w:t>Respuesta:</w:t>
      </w:r>
    </w:p>
    <w:p w14:paraId="0663E4E7" w14:textId="77777777" w:rsidR="00441AA2" w:rsidRDefault="00441AA2" w:rsidP="00E1521D">
      <w:pPr>
        <w:jc w:val="both"/>
        <w:rPr>
          <w:color w:val="EE0000"/>
        </w:rPr>
      </w:pPr>
      <w:r>
        <w:rPr>
          <w:rFonts w:ascii="Cambria" w:hAnsi="Cambria"/>
          <w:color w:val="275317" w:themeColor="accent6" w:themeShade="80"/>
        </w:rPr>
        <w:t xml:space="preserve">Se repite. Ya respuesta. </w:t>
      </w:r>
    </w:p>
    <w:p w14:paraId="07D2C7EA" w14:textId="77777777" w:rsidR="001C78B1" w:rsidRDefault="001C78B1" w:rsidP="00E1521D">
      <w:pPr>
        <w:pBdr>
          <w:bottom w:val="dotted" w:sz="24" w:space="1" w:color="auto"/>
        </w:pBdr>
        <w:jc w:val="both"/>
      </w:pPr>
    </w:p>
    <w:p w14:paraId="5D6AE0F2" w14:textId="77777777" w:rsidR="00E31474" w:rsidRPr="008F0C02" w:rsidRDefault="00E31474" w:rsidP="00E1521D">
      <w:pPr>
        <w:shd w:val="clear" w:color="auto" w:fill="E8E8E8" w:themeFill="background2"/>
        <w:jc w:val="both"/>
        <w:rPr>
          <w:b/>
          <w:bCs/>
        </w:rPr>
      </w:pPr>
      <w:r w:rsidRPr="004C3CC6">
        <w:rPr>
          <w:b/>
          <w:bCs/>
        </w:rPr>
        <w:t>Intervención</w:t>
      </w:r>
      <w:r w:rsidRPr="008F0C02">
        <w:rPr>
          <w:b/>
          <w:bCs/>
        </w:rPr>
        <w:t xml:space="preserve"> 53</w:t>
      </w:r>
      <w:r w:rsidRPr="004C3CC6">
        <w:rPr>
          <w:b/>
          <w:bCs/>
        </w:rPr>
        <w:t>:</w:t>
      </w:r>
    </w:p>
    <w:p w14:paraId="684486E4" w14:textId="77777777" w:rsidR="00E31474" w:rsidRPr="004C3CC6" w:rsidRDefault="00E31474" w:rsidP="00E1521D">
      <w:pPr>
        <w:shd w:val="clear" w:color="auto" w:fill="E8E8E8" w:themeFill="background2"/>
        <w:jc w:val="both"/>
        <w:rPr>
          <w:b/>
          <w:bCs/>
        </w:rPr>
      </w:pPr>
      <w:r w:rsidRPr="004C3CC6">
        <w:rPr>
          <w:b/>
          <w:bCs/>
        </w:rPr>
        <w:t>“La última pregunta que tengo es una cuestión de semántica. Yo no tengo muy bien entendida la diferencia entre lo que es la sustitución y la adecuación de luminarias. En mi caso, la adecuación es cuando se tiene ya una lámpara existente y a lo mejor se le hacen unos arreglos, pero se deja el mismo cuerpo, y no creo que de eso vaya esta licitación.”</w:t>
      </w:r>
    </w:p>
    <w:p w14:paraId="69C2DFF0" w14:textId="77777777" w:rsidR="00DF3403" w:rsidRDefault="00DF3403" w:rsidP="00E1521D">
      <w:pPr>
        <w:jc w:val="both"/>
        <w:rPr>
          <w:b/>
          <w:bCs/>
        </w:rPr>
      </w:pPr>
    </w:p>
    <w:p w14:paraId="27F7D702" w14:textId="6182960A" w:rsidR="00E31474" w:rsidRDefault="00E31474" w:rsidP="00E1521D">
      <w:pPr>
        <w:jc w:val="both"/>
      </w:pPr>
      <w:r w:rsidRPr="004C3CC6">
        <w:rPr>
          <w:b/>
          <w:bCs/>
        </w:rPr>
        <w:t>Respuesta:</w:t>
      </w:r>
      <w:r w:rsidRPr="004C3CC6">
        <w:rPr>
          <w:b/>
          <w:bCs/>
        </w:rPr>
        <w:br/>
      </w:r>
      <w:r w:rsidRPr="00824E11">
        <w:t>El alcance del proceso contempla intervenciones que pueden implicar tanto la sustitución de luminarias existentes como la adecuación de la infraestructura asociada. La definición específica de cada tipo de intervención se encuentra detallada en los documentos de licitación, a los cuales deberán remitirse los oferentes para su correcta interpretación.</w:t>
      </w:r>
    </w:p>
    <w:p w14:paraId="6AB2837A" w14:textId="77777777" w:rsidR="00E31474" w:rsidRPr="0060146D" w:rsidRDefault="00E31474" w:rsidP="00E1521D">
      <w:pPr>
        <w:pBdr>
          <w:bottom w:val="dotted" w:sz="24" w:space="1" w:color="auto"/>
        </w:pBdr>
        <w:jc w:val="both"/>
      </w:pPr>
    </w:p>
    <w:p w14:paraId="28E77AD2" w14:textId="77777777" w:rsidR="00610A4E" w:rsidRDefault="00610A4E" w:rsidP="00E1521D">
      <w:pPr>
        <w:pBdr>
          <w:bottom w:val="dotted" w:sz="24" w:space="1" w:color="auto"/>
        </w:pBdr>
        <w:jc w:val="both"/>
      </w:pPr>
    </w:p>
    <w:p w14:paraId="136562FD" w14:textId="77777777" w:rsidR="00610A4E" w:rsidRDefault="00610A4E" w:rsidP="00E1521D">
      <w:pPr>
        <w:pBdr>
          <w:bottom w:val="dotted" w:sz="24" w:space="1" w:color="auto"/>
        </w:pBdr>
        <w:jc w:val="both"/>
      </w:pPr>
    </w:p>
    <w:p w14:paraId="319B4452" w14:textId="77777777" w:rsidR="00610A4E" w:rsidRDefault="00610A4E" w:rsidP="00E1521D">
      <w:pPr>
        <w:pBdr>
          <w:bottom w:val="dotted" w:sz="24" w:space="1" w:color="auto"/>
        </w:pBdr>
        <w:jc w:val="both"/>
      </w:pPr>
    </w:p>
    <w:p w14:paraId="7B0B95E5" w14:textId="77777777" w:rsidR="00610A4E" w:rsidRDefault="00610A4E" w:rsidP="00E1521D">
      <w:pPr>
        <w:pBdr>
          <w:bottom w:val="dotted" w:sz="24" w:space="1" w:color="auto"/>
        </w:pBdr>
        <w:jc w:val="both"/>
      </w:pPr>
    </w:p>
    <w:sectPr w:rsidR="00610A4E">
      <w:head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D0A3F" w14:textId="77777777" w:rsidR="008356E0" w:rsidRDefault="008356E0" w:rsidP="00B70B0A">
      <w:r>
        <w:separator/>
      </w:r>
    </w:p>
  </w:endnote>
  <w:endnote w:type="continuationSeparator" w:id="0">
    <w:p w14:paraId="21304C06" w14:textId="77777777" w:rsidR="008356E0" w:rsidRDefault="008356E0" w:rsidP="00B70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8CC6F" w14:textId="77777777" w:rsidR="008356E0" w:rsidRDefault="008356E0" w:rsidP="00B70B0A">
      <w:r>
        <w:separator/>
      </w:r>
    </w:p>
  </w:footnote>
  <w:footnote w:type="continuationSeparator" w:id="0">
    <w:p w14:paraId="56A5F891" w14:textId="77777777" w:rsidR="008356E0" w:rsidRDefault="008356E0" w:rsidP="00B70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24E05" w14:textId="45C8641F" w:rsidR="00C51FCB" w:rsidRPr="00B70B0A" w:rsidRDefault="00C51FCB" w:rsidP="00B70B0A">
    <w:pPr>
      <w:pStyle w:val="Encabezado"/>
      <w:jc w:val="center"/>
    </w:pPr>
    <w:r w:rsidRPr="00AF722A">
      <w:rPr>
        <w:noProof/>
        <w:lang w:val="es-ES" w:eastAsia="es-ES"/>
      </w:rPr>
      <w:drawing>
        <wp:inline distT="0" distB="0" distL="0" distR="0" wp14:anchorId="7CAB0254" wp14:editId="61945583">
          <wp:extent cx="1348105" cy="709295"/>
          <wp:effectExtent l="0" t="0" r="0" b="0"/>
          <wp:docPr id="191069953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00490" name="Imagen 1" descr="Text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105" cy="7092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2330"/>
    <w:multiLevelType w:val="multilevel"/>
    <w:tmpl w:val="567A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3271C"/>
    <w:multiLevelType w:val="multilevel"/>
    <w:tmpl w:val="0C8C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E17A7"/>
    <w:multiLevelType w:val="multilevel"/>
    <w:tmpl w:val="4DB0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F4679"/>
    <w:multiLevelType w:val="multilevel"/>
    <w:tmpl w:val="CB3C3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3962C4"/>
    <w:multiLevelType w:val="multilevel"/>
    <w:tmpl w:val="819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D15AB1"/>
    <w:multiLevelType w:val="hybridMultilevel"/>
    <w:tmpl w:val="E4DA11D0"/>
    <w:lvl w:ilvl="0" w:tplc="540A0003">
      <w:start w:val="1"/>
      <w:numFmt w:val="bullet"/>
      <w:lvlText w:val="o"/>
      <w:lvlJc w:val="left"/>
      <w:pPr>
        <w:ind w:left="720" w:hanging="360"/>
      </w:pPr>
      <w:rPr>
        <w:rFonts w:ascii="Courier New" w:hAnsi="Courier New" w:cs="Courier New"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 w15:restartNumberingAfterBreak="0">
    <w:nsid w:val="2BFB7CC2"/>
    <w:multiLevelType w:val="hybridMultilevel"/>
    <w:tmpl w:val="87CADB80"/>
    <w:lvl w:ilvl="0" w:tplc="540A0003">
      <w:start w:val="1"/>
      <w:numFmt w:val="bullet"/>
      <w:lvlText w:val="o"/>
      <w:lvlJc w:val="left"/>
      <w:pPr>
        <w:ind w:left="720" w:hanging="360"/>
      </w:pPr>
      <w:rPr>
        <w:rFonts w:ascii="Courier New" w:hAnsi="Courier New" w:cs="Courier New"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2E202E3E"/>
    <w:multiLevelType w:val="multilevel"/>
    <w:tmpl w:val="6A80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5445C2"/>
    <w:multiLevelType w:val="multilevel"/>
    <w:tmpl w:val="B738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D81DA6"/>
    <w:multiLevelType w:val="multilevel"/>
    <w:tmpl w:val="1CF8C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0869FB"/>
    <w:multiLevelType w:val="hybridMultilevel"/>
    <w:tmpl w:val="DF648B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9947FBE"/>
    <w:multiLevelType w:val="hybridMultilevel"/>
    <w:tmpl w:val="F92E191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0F51219"/>
    <w:multiLevelType w:val="multilevel"/>
    <w:tmpl w:val="0502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5F4F11"/>
    <w:multiLevelType w:val="hybridMultilevel"/>
    <w:tmpl w:val="0B38DF2C"/>
    <w:lvl w:ilvl="0" w:tplc="9FA8999E">
      <w:start w:val="9"/>
      <w:numFmt w:val="bullet"/>
      <w:lvlText w:val="-"/>
      <w:lvlJc w:val="left"/>
      <w:pPr>
        <w:ind w:left="720" w:hanging="360"/>
      </w:pPr>
      <w:rPr>
        <w:rFonts w:ascii="Cambria" w:eastAsiaTheme="minorHAnsi" w:hAnsi="Cambria" w:cstheme="minorBidi"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4" w15:restartNumberingAfterBreak="0">
    <w:nsid w:val="56BE6C60"/>
    <w:multiLevelType w:val="multilevel"/>
    <w:tmpl w:val="F882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301861"/>
    <w:multiLevelType w:val="multilevel"/>
    <w:tmpl w:val="E0A6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6223B5"/>
    <w:multiLevelType w:val="hybridMultilevel"/>
    <w:tmpl w:val="FCD40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8C7188F"/>
    <w:multiLevelType w:val="hybridMultilevel"/>
    <w:tmpl w:val="58983474"/>
    <w:lvl w:ilvl="0" w:tplc="F1B40D1C">
      <w:start w:val="1"/>
      <w:numFmt w:val="decimal"/>
      <w:lvlText w:val="%1."/>
      <w:lvlJc w:val="left"/>
      <w:pPr>
        <w:ind w:left="1043" w:hanging="683"/>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8" w15:restartNumberingAfterBreak="0">
    <w:nsid w:val="5AFC36F9"/>
    <w:multiLevelType w:val="hybridMultilevel"/>
    <w:tmpl w:val="7186BC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BBB50F1"/>
    <w:multiLevelType w:val="hybridMultilevel"/>
    <w:tmpl w:val="FDC885F2"/>
    <w:lvl w:ilvl="0" w:tplc="39B65298">
      <w:start w:val="1"/>
      <w:numFmt w:val="decimal"/>
      <w:lvlText w:val="%1."/>
      <w:lvlJc w:val="left"/>
      <w:pPr>
        <w:tabs>
          <w:tab w:val="num" w:pos="360"/>
        </w:tabs>
        <w:ind w:left="360" w:hanging="360"/>
      </w:pPr>
      <w:rPr>
        <w:b/>
      </w:rPr>
    </w:lvl>
    <w:lvl w:ilvl="1" w:tplc="4272A180">
      <w:numFmt w:val="none"/>
      <w:lvlText w:val=""/>
      <w:lvlJc w:val="left"/>
      <w:pPr>
        <w:tabs>
          <w:tab w:val="num" w:pos="0"/>
        </w:tabs>
      </w:pPr>
    </w:lvl>
    <w:lvl w:ilvl="2" w:tplc="20CC80F0">
      <w:numFmt w:val="none"/>
      <w:lvlText w:val=""/>
      <w:lvlJc w:val="left"/>
      <w:pPr>
        <w:tabs>
          <w:tab w:val="num" w:pos="0"/>
        </w:tabs>
      </w:pPr>
    </w:lvl>
    <w:lvl w:ilvl="3" w:tplc="0218BCFA">
      <w:numFmt w:val="none"/>
      <w:lvlText w:val=""/>
      <w:lvlJc w:val="left"/>
      <w:pPr>
        <w:tabs>
          <w:tab w:val="num" w:pos="0"/>
        </w:tabs>
      </w:pPr>
    </w:lvl>
    <w:lvl w:ilvl="4" w:tplc="50064BA2">
      <w:numFmt w:val="none"/>
      <w:lvlText w:val=""/>
      <w:lvlJc w:val="left"/>
      <w:pPr>
        <w:tabs>
          <w:tab w:val="num" w:pos="0"/>
        </w:tabs>
      </w:pPr>
    </w:lvl>
    <w:lvl w:ilvl="5" w:tplc="05421E72">
      <w:numFmt w:val="none"/>
      <w:lvlText w:val=""/>
      <w:lvlJc w:val="left"/>
      <w:pPr>
        <w:tabs>
          <w:tab w:val="num" w:pos="0"/>
        </w:tabs>
      </w:pPr>
    </w:lvl>
    <w:lvl w:ilvl="6" w:tplc="66B233B0">
      <w:numFmt w:val="none"/>
      <w:lvlText w:val=""/>
      <w:lvlJc w:val="left"/>
      <w:pPr>
        <w:tabs>
          <w:tab w:val="num" w:pos="0"/>
        </w:tabs>
      </w:pPr>
    </w:lvl>
    <w:lvl w:ilvl="7" w:tplc="37AC1556">
      <w:numFmt w:val="none"/>
      <w:lvlText w:val=""/>
      <w:lvlJc w:val="left"/>
      <w:pPr>
        <w:tabs>
          <w:tab w:val="num" w:pos="0"/>
        </w:tabs>
      </w:pPr>
    </w:lvl>
    <w:lvl w:ilvl="8" w:tplc="FF6C7900">
      <w:numFmt w:val="none"/>
      <w:lvlText w:val=""/>
      <w:lvlJc w:val="left"/>
      <w:pPr>
        <w:tabs>
          <w:tab w:val="num" w:pos="0"/>
        </w:tabs>
      </w:pPr>
    </w:lvl>
  </w:abstractNum>
  <w:abstractNum w:abstractNumId="20" w15:restartNumberingAfterBreak="0">
    <w:nsid w:val="62D9634F"/>
    <w:multiLevelType w:val="hybridMultilevel"/>
    <w:tmpl w:val="C98489A4"/>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1" w15:restartNumberingAfterBreak="0">
    <w:nsid w:val="66CD0EA1"/>
    <w:multiLevelType w:val="multilevel"/>
    <w:tmpl w:val="B45E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1D3904"/>
    <w:multiLevelType w:val="multilevel"/>
    <w:tmpl w:val="0596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5E35D9"/>
    <w:multiLevelType w:val="multilevel"/>
    <w:tmpl w:val="2468F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2C450F"/>
    <w:multiLevelType w:val="multilevel"/>
    <w:tmpl w:val="3012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4F7385"/>
    <w:multiLevelType w:val="multilevel"/>
    <w:tmpl w:val="31005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AE1FFB"/>
    <w:multiLevelType w:val="hybridMultilevel"/>
    <w:tmpl w:val="3B4AF886"/>
    <w:lvl w:ilvl="0" w:tplc="E9203122">
      <w:start w:val="1"/>
      <w:numFmt w:val="decimal"/>
      <w:lvlText w:val="%1."/>
      <w:lvlJc w:val="left"/>
      <w:pPr>
        <w:ind w:left="1110" w:hanging="39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27" w15:restartNumberingAfterBreak="0">
    <w:nsid w:val="74801E66"/>
    <w:multiLevelType w:val="multilevel"/>
    <w:tmpl w:val="CE203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0B3A8D"/>
    <w:multiLevelType w:val="hybridMultilevel"/>
    <w:tmpl w:val="FF32BF9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9" w15:restartNumberingAfterBreak="0">
    <w:nsid w:val="7CD3738A"/>
    <w:multiLevelType w:val="hybridMultilevel"/>
    <w:tmpl w:val="B2421C5C"/>
    <w:lvl w:ilvl="0" w:tplc="9FA8999E">
      <w:start w:val="9"/>
      <w:numFmt w:val="bullet"/>
      <w:lvlText w:val="-"/>
      <w:lvlJc w:val="left"/>
      <w:pPr>
        <w:ind w:left="720" w:hanging="360"/>
      </w:pPr>
      <w:rPr>
        <w:rFonts w:ascii="Cambria" w:eastAsiaTheme="minorHAnsi" w:hAnsi="Cambria" w:cstheme="minorBidi"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0" w15:restartNumberingAfterBreak="0">
    <w:nsid w:val="7F79108D"/>
    <w:multiLevelType w:val="multilevel"/>
    <w:tmpl w:val="2CF0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9"/>
  </w:num>
  <w:num w:numId="3">
    <w:abstractNumId w:val="13"/>
  </w:num>
  <w:num w:numId="4">
    <w:abstractNumId w:val="5"/>
  </w:num>
  <w:num w:numId="5">
    <w:abstractNumId w:val="6"/>
  </w:num>
  <w:num w:numId="6">
    <w:abstractNumId w:val="28"/>
  </w:num>
  <w:num w:numId="7">
    <w:abstractNumId w:val="27"/>
  </w:num>
  <w:num w:numId="8">
    <w:abstractNumId w:val="8"/>
  </w:num>
  <w:num w:numId="9">
    <w:abstractNumId w:val="11"/>
  </w:num>
  <w:num w:numId="10">
    <w:abstractNumId w:val="7"/>
  </w:num>
  <w:num w:numId="11">
    <w:abstractNumId w:val="22"/>
  </w:num>
  <w:num w:numId="12">
    <w:abstractNumId w:val="0"/>
  </w:num>
  <w:num w:numId="13">
    <w:abstractNumId w:val="2"/>
  </w:num>
  <w:num w:numId="14">
    <w:abstractNumId w:val="10"/>
  </w:num>
  <w:num w:numId="15">
    <w:abstractNumId w:val="24"/>
  </w:num>
  <w:num w:numId="16">
    <w:abstractNumId w:val="12"/>
  </w:num>
  <w:num w:numId="17">
    <w:abstractNumId w:val="30"/>
  </w:num>
  <w:num w:numId="18">
    <w:abstractNumId w:val="15"/>
  </w:num>
  <w:num w:numId="19">
    <w:abstractNumId w:val="14"/>
  </w:num>
  <w:num w:numId="20">
    <w:abstractNumId w:val="21"/>
  </w:num>
  <w:num w:numId="21">
    <w:abstractNumId w:val="16"/>
  </w:num>
  <w:num w:numId="22">
    <w:abstractNumId w:val="18"/>
  </w:num>
  <w:num w:numId="23">
    <w:abstractNumId w:val="26"/>
  </w:num>
  <w:num w:numId="24">
    <w:abstractNumId w:val="25"/>
  </w:num>
  <w:num w:numId="25">
    <w:abstractNumId w:val="3"/>
  </w:num>
  <w:num w:numId="26">
    <w:abstractNumId w:val="23"/>
  </w:num>
  <w:num w:numId="27">
    <w:abstractNumId w:val="9"/>
  </w:num>
  <w:num w:numId="28">
    <w:abstractNumId w:val="17"/>
  </w:num>
  <w:num w:numId="29">
    <w:abstractNumId w:val="4"/>
  </w:num>
  <w:num w:numId="30">
    <w:abstractNumId w:val="1"/>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B0A"/>
    <w:rsid w:val="000042CE"/>
    <w:rsid w:val="00007216"/>
    <w:rsid w:val="00010300"/>
    <w:rsid w:val="00012D3C"/>
    <w:rsid w:val="00014504"/>
    <w:rsid w:val="000160FA"/>
    <w:rsid w:val="000214AE"/>
    <w:rsid w:val="00024FE7"/>
    <w:rsid w:val="00027BBE"/>
    <w:rsid w:val="00033770"/>
    <w:rsid w:val="00044374"/>
    <w:rsid w:val="00044775"/>
    <w:rsid w:val="00044E87"/>
    <w:rsid w:val="00053A45"/>
    <w:rsid w:val="0005417F"/>
    <w:rsid w:val="00064BC0"/>
    <w:rsid w:val="000663B0"/>
    <w:rsid w:val="00070C3B"/>
    <w:rsid w:val="00073F54"/>
    <w:rsid w:val="000856D5"/>
    <w:rsid w:val="00090937"/>
    <w:rsid w:val="00096F9A"/>
    <w:rsid w:val="000B76ED"/>
    <w:rsid w:val="000C783F"/>
    <w:rsid w:val="000D0891"/>
    <w:rsid w:val="000D1C81"/>
    <w:rsid w:val="000E06B6"/>
    <w:rsid w:val="000F1A93"/>
    <w:rsid w:val="00104D70"/>
    <w:rsid w:val="0010785D"/>
    <w:rsid w:val="00124DEA"/>
    <w:rsid w:val="0013186D"/>
    <w:rsid w:val="00133E00"/>
    <w:rsid w:val="00150B9C"/>
    <w:rsid w:val="001515D8"/>
    <w:rsid w:val="00152546"/>
    <w:rsid w:val="00163086"/>
    <w:rsid w:val="001736FA"/>
    <w:rsid w:val="00182547"/>
    <w:rsid w:val="00183502"/>
    <w:rsid w:val="00183C0A"/>
    <w:rsid w:val="00184C6A"/>
    <w:rsid w:val="001A13CA"/>
    <w:rsid w:val="001A247A"/>
    <w:rsid w:val="001A334D"/>
    <w:rsid w:val="001B1F0A"/>
    <w:rsid w:val="001B2CEB"/>
    <w:rsid w:val="001B425B"/>
    <w:rsid w:val="001B5D32"/>
    <w:rsid w:val="001C487A"/>
    <w:rsid w:val="001C78B1"/>
    <w:rsid w:val="001E1636"/>
    <w:rsid w:val="001F0A1A"/>
    <w:rsid w:val="001F5C10"/>
    <w:rsid w:val="00200093"/>
    <w:rsid w:val="00200170"/>
    <w:rsid w:val="00202718"/>
    <w:rsid w:val="00204025"/>
    <w:rsid w:val="0020756E"/>
    <w:rsid w:val="002078F5"/>
    <w:rsid w:val="002125D1"/>
    <w:rsid w:val="00212FE8"/>
    <w:rsid w:val="0021371A"/>
    <w:rsid w:val="0022029D"/>
    <w:rsid w:val="00223A95"/>
    <w:rsid w:val="002248A0"/>
    <w:rsid w:val="00232C14"/>
    <w:rsid w:val="002348AC"/>
    <w:rsid w:val="00244DCC"/>
    <w:rsid w:val="002464B9"/>
    <w:rsid w:val="00270953"/>
    <w:rsid w:val="00270DE1"/>
    <w:rsid w:val="00270E5F"/>
    <w:rsid w:val="00296AAE"/>
    <w:rsid w:val="0029761F"/>
    <w:rsid w:val="002A1AB7"/>
    <w:rsid w:val="002A319F"/>
    <w:rsid w:val="002A6FD6"/>
    <w:rsid w:val="002B0CFE"/>
    <w:rsid w:val="002B73B4"/>
    <w:rsid w:val="002B7882"/>
    <w:rsid w:val="002D1D35"/>
    <w:rsid w:val="002D2CFA"/>
    <w:rsid w:val="002D7DEC"/>
    <w:rsid w:val="002E0E01"/>
    <w:rsid w:val="002E7DDB"/>
    <w:rsid w:val="002F2B9F"/>
    <w:rsid w:val="00314D5E"/>
    <w:rsid w:val="00321508"/>
    <w:rsid w:val="0032317E"/>
    <w:rsid w:val="00330499"/>
    <w:rsid w:val="00353B1E"/>
    <w:rsid w:val="0036725C"/>
    <w:rsid w:val="003706CC"/>
    <w:rsid w:val="0037564E"/>
    <w:rsid w:val="00380237"/>
    <w:rsid w:val="00385D26"/>
    <w:rsid w:val="00390B79"/>
    <w:rsid w:val="003B276D"/>
    <w:rsid w:val="003B53A9"/>
    <w:rsid w:val="003D6C04"/>
    <w:rsid w:val="003E2E7D"/>
    <w:rsid w:val="003E3F65"/>
    <w:rsid w:val="00441AA2"/>
    <w:rsid w:val="00453A2B"/>
    <w:rsid w:val="00457E4F"/>
    <w:rsid w:val="00457EC2"/>
    <w:rsid w:val="004656FE"/>
    <w:rsid w:val="00477962"/>
    <w:rsid w:val="004844FA"/>
    <w:rsid w:val="0048471E"/>
    <w:rsid w:val="00485991"/>
    <w:rsid w:val="0049648A"/>
    <w:rsid w:val="004A20E4"/>
    <w:rsid w:val="004B2420"/>
    <w:rsid w:val="004C1E12"/>
    <w:rsid w:val="004D4E0E"/>
    <w:rsid w:val="004E303C"/>
    <w:rsid w:val="004E47CA"/>
    <w:rsid w:val="004E70EA"/>
    <w:rsid w:val="00510FF9"/>
    <w:rsid w:val="005125E5"/>
    <w:rsid w:val="00520975"/>
    <w:rsid w:val="005221FF"/>
    <w:rsid w:val="00536C43"/>
    <w:rsid w:val="0054196C"/>
    <w:rsid w:val="005502E0"/>
    <w:rsid w:val="00557EED"/>
    <w:rsid w:val="00592D53"/>
    <w:rsid w:val="00593FDB"/>
    <w:rsid w:val="00596090"/>
    <w:rsid w:val="005C1452"/>
    <w:rsid w:val="005C7962"/>
    <w:rsid w:val="005D21B6"/>
    <w:rsid w:val="005E1EC4"/>
    <w:rsid w:val="005E4CD9"/>
    <w:rsid w:val="0060146D"/>
    <w:rsid w:val="00603209"/>
    <w:rsid w:val="00604B4E"/>
    <w:rsid w:val="00606190"/>
    <w:rsid w:val="00610A4E"/>
    <w:rsid w:val="0061695F"/>
    <w:rsid w:val="006241A3"/>
    <w:rsid w:val="00634CB6"/>
    <w:rsid w:val="00642901"/>
    <w:rsid w:val="00657A82"/>
    <w:rsid w:val="00667340"/>
    <w:rsid w:val="006847C9"/>
    <w:rsid w:val="006848F8"/>
    <w:rsid w:val="00685FA9"/>
    <w:rsid w:val="00694404"/>
    <w:rsid w:val="00695EA2"/>
    <w:rsid w:val="006A1600"/>
    <w:rsid w:val="006A2C52"/>
    <w:rsid w:val="006B2DD0"/>
    <w:rsid w:val="006B5FF0"/>
    <w:rsid w:val="006B76E4"/>
    <w:rsid w:val="006B7EE8"/>
    <w:rsid w:val="006C1E37"/>
    <w:rsid w:val="006C64A0"/>
    <w:rsid w:val="006D07C2"/>
    <w:rsid w:val="006E104B"/>
    <w:rsid w:val="006E24A7"/>
    <w:rsid w:val="006E6714"/>
    <w:rsid w:val="006F2D83"/>
    <w:rsid w:val="006F376C"/>
    <w:rsid w:val="006F3918"/>
    <w:rsid w:val="006F3D9F"/>
    <w:rsid w:val="006F4112"/>
    <w:rsid w:val="006F6840"/>
    <w:rsid w:val="006F6D6C"/>
    <w:rsid w:val="00700D48"/>
    <w:rsid w:val="007015DB"/>
    <w:rsid w:val="00706BF0"/>
    <w:rsid w:val="007218DD"/>
    <w:rsid w:val="00730154"/>
    <w:rsid w:val="00732831"/>
    <w:rsid w:val="007408E8"/>
    <w:rsid w:val="0076037A"/>
    <w:rsid w:val="00762C7F"/>
    <w:rsid w:val="00781F5A"/>
    <w:rsid w:val="007858AB"/>
    <w:rsid w:val="00787A89"/>
    <w:rsid w:val="007B1B83"/>
    <w:rsid w:val="007B6317"/>
    <w:rsid w:val="007B63D3"/>
    <w:rsid w:val="007C311E"/>
    <w:rsid w:val="007D6A6D"/>
    <w:rsid w:val="007F1929"/>
    <w:rsid w:val="007F1BBC"/>
    <w:rsid w:val="007F29F5"/>
    <w:rsid w:val="00801435"/>
    <w:rsid w:val="00804320"/>
    <w:rsid w:val="00822ADF"/>
    <w:rsid w:val="008238CC"/>
    <w:rsid w:val="00823BED"/>
    <w:rsid w:val="00827BE6"/>
    <w:rsid w:val="0083396F"/>
    <w:rsid w:val="008356E0"/>
    <w:rsid w:val="0083683E"/>
    <w:rsid w:val="008427A8"/>
    <w:rsid w:val="008672D4"/>
    <w:rsid w:val="00867417"/>
    <w:rsid w:val="00871139"/>
    <w:rsid w:val="00875CF7"/>
    <w:rsid w:val="00886BD3"/>
    <w:rsid w:val="00891530"/>
    <w:rsid w:val="00892384"/>
    <w:rsid w:val="0089256D"/>
    <w:rsid w:val="00893FB0"/>
    <w:rsid w:val="008A0EDC"/>
    <w:rsid w:val="008B3086"/>
    <w:rsid w:val="008B36AB"/>
    <w:rsid w:val="008B5210"/>
    <w:rsid w:val="008E18DC"/>
    <w:rsid w:val="00907B6B"/>
    <w:rsid w:val="00910AAC"/>
    <w:rsid w:val="00914A55"/>
    <w:rsid w:val="00927A44"/>
    <w:rsid w:val="00943C8E"/>
    <w:rsid w:val="00956057"/>
    <w:rsid w:val="009612BC"/>
    <w:rsid w:val="009819D3"/>
    <w:rsid w:val="00983713"/>
    <w:rsid w:val="009955F5"/>
    <w:rsid w:val="009A1331"/>
    <w:rsid w:val="009A3F78"/>
    <w:rsid w:val="009B13DB"/>
    <w:rsid w:val="009B3592"/>
    <w:rsid w:val="009B3AA1"/>
    <w:rsid w:val="009B75C8"/>
    <w:rsid w:val="009C4F37"/>
    <w:rsid w:val="009E672C"/>
    <w:rsid w:val="009E7A23"/>
    <w:rsid w:val="009F169F"/>
    <w:rsid w:val="009F2FF9"/>
    <w:rsid w:val="009F626B"/>
    <w:rsid w:val="00A07755"/>
    <w:rsid w:val="00A07CEE"/>
    <w:rsid w:val="00A13830"/>
    <w:rsid w:val="00A47760"/>
    <w:rsid w:val="00A57301"/>
    <w:rsid w:val="00A610AD"/>
    <w:rsid w:val="00A62F31"/>
    <w:rsid w:val="00A64D31"/>
    <w:rsid w:val="00A70A11"/>
    <w:rsid w:val="00A71272"/>
    <w:rsid w:val="00A763D6"/>
    <w:rsid w:val="00A7695D"/>
    <w:rsid w:val="00A90311"/>
    <w:rsid w:val="00A909D5"/>
    <w:rsid w:val="00A91380"/>
    <w:rsid w:val="00AA7420"/>
    <w:rsid w:val="00AB1288"/>
    <w:rsid w:val="00AB749E"/>
    <w:rsid w:val="00AC29FD"/>
    <w:rsid w:val="00AD60EF"/>
    <w:rsid w:val="00AE78D8"/>
    <w:rsid w:val="00AF1BBA"/>
    <w:rsid w:val="00AF3E90"/>
    <w:rsid w:val="00AF485E"/>
    <w:rsid w:val="00B040AB"/>
    <w:rsid w:val="00B11654"/>
    <w:rsid w:val="00B156D6"/>
    <w:rsid w:val="00B17297"/>
    <w:rsid w:val="00B258EC"/>
    <w:rsid w:val="00B45840"/>
    <w:rsid w:val="00B47572"/>
    <w:rsid w:val="00B476A5"/>
    <w:rsid w:val="00B5206B"/>
    <w:rsid w:val="00B57240"/>
    <w:rsid w:val="00B6587E"/>
    <w:rsid w:val="00B707F5"/>
    <w:rsid w:val="00B70B0A"/>
    <w:rsid w:val="00B776AD"/>
    <w:rsid w:val="00B8303B"/>
    <w:rsid w:val="00B9272D"/>
    <w:rsid w:val="00B94834"/>
    <w:rsid w:val="00B97CA5"/>
    <w:rsid w:val="00BA0EFC"/>
    <w:rsid w:val="00BA62EE"/>
    <w:rsid w:val="00BB360E"/>
    <w:rsid w:val="00BC2451"/>
    <w:rsid w:val="00BC4168"/>
    <w:rsid w:val="00BC7DA0"/>
    <w:rsid w:val="00BD3F79"/>
    <w:rsid w:val="00BE5ACE"/>
    <w:rsid w:val="00BE5B2E"/>
    <w:rsid w:val="00BE7916"/>
    <w:rsid w:val="00BF356C"/>
    <w:rsid w:val="00C04A7B"/>
    <w:rsid w:val="00C12E6C"/>
    <w:rsid w:val="00C15F2D"/>
    <w:rsid w:val="00C46932"/>
    <w:rsid w:val="00C50AE8"/>
    <w:rsid w:val="00C51FCB"/>
    <w:rsid w:val="00C63DD8"/>
    <w:rsid w:val="00C64E47"/>
    <w:rsid w:val="00C70594"/>
    <w:rsid w:val="00C80BA5"/>
    <w:rsid w:val="00C94BCC"/>
    <w:rsid w:val="00C97CD6"/>
    <w:rsid w:val="00CA3329"/>
    <w:rsid w:val="00CA482A"/>
    <w:rsid w:val="00CB0814"/>
    <w:rsid w:val="00CC02CE"/>
    <w:rsid w:val="00CC65A6"/>
    <w:rsid w:val="00CD1DC7"/>
    <w:rsid w:val="00CD6A6F"/>
    <w:rsid w:val="00CE225D"/>
    <w:rsid w:val="00CE3142"/>
    <w:rsid w:val="00CE39A3"/>
    <w:rsid w:val="00CE3C2C"/>
    <w:rsid w:val="00CF0DBB"/>
    <w:rsid w:val="00D077CA"/>
    <w:rsid w:val="00D22D77"/>
    <w:rsid w:val="00D3135A"/>
    <w:rsid w:val="00D477E9"/>
    <w:rsid w:val="00D614C4"/>
    <w:rsid w:val="00D65397"/>
    <w:rsid w:val="00D65C20"/>
    <w:rsid w:val="00D73417"/>
    <w:rsid w:val="00D766A5"/>
    <w:rsid w:val="00D9629E"/>
    <w:rsid w:val="00D97D3D"/>
    <w:rsid w:val="00DA70FD"/>
    <w:rsid w:val="00DB5CC9"/>
    <w:rsid w:val="00DD2F47"/>
    <w:rsid w:val="00DD31A1"/>
    <w:rsid w:val="00DD56AD"/>
    <w:rsid w:val="00DD62F9"/>
    <w:rsid w:val="00DD6AB9"/>
    <w:rsid w:val="00DE0793"/>
    <w:rsid w:val="00DE0907"/>
    <w:rsid w:val="00DF3403"/>
    <w:rsid w:val="00DF7C8A"/>
    <w:rsid w:val="00E00D8A"/>
    <w:rsid w:val="00E05294"/>
    <w:rsid w:val="00E10330"/>
    <w:rsid w:val="00E1521D"/>
    <w:rsid w:val="00E2598A"/>
    <w:rsid w:val="00E31474"/>
    <w:rsid w:val="00E32339"/>
    <w:rsid w:val="00E33C94"/>
    <w:rsid w:val="00E35A9E"/>
    <w:rsid w:val="00E40306"/>
    <w:rsid w:val="00E47C8C"/>
    <w:rsid w:val="00E504E5"/>
    <w:rsid w:val="00E62512"/>
    <w:rsid w:val="00E8435F"/>
    <w:rsid w:val="00E85999"/>
    <w:rsid w:val="00EC66A3"/>
    <w:rsid w:val="00EC6AF1"/>
    <w:rsid w:val="00EC7F66"/>
    <w:rsid w:val="00ED1D18"/>
    <w:rsid w:val="00ED3F39"/>
    <w:rsid w:val="00EE5093"/>
    <w:rsid w:val="00EE5216"/>
    <w:rsid w:val="00EE6FE0"/>
    <w:rsid w:val="00EE7EBF"/>
    <w:rsid w:val="00EF02E9"/>
    <w:rsid w:val="00EF1BCF"/>
    <w:rsid w:val="00EF6BDC"/>
    <w:rsid w:val="00EF71BC"/>
    <w:rsid w:val="00F0326A"/>
    <w:rsid w:val="00F07259"/>
    <w:rsid w:val="00F1287E"/>
    <w:rsid w:val="00F25D92"/>
    <w:rsid w:val="00F27365"/>
    <w:rsid w:val="00F44FA3"/>
    <w:rsid w:val="00F503AA"/>
    <w:rsid w:val="00F534B6"/>
    <w:rsid w:val="00F539B2"/>
    <w:rsid w:val="00F54E1E"/>
    <w:rsid w:val="00F55917"/>
    <w:rsid w:val="00F56265"/>
    <w:rsid w:val="00F67D37"/>
    <w:rsid w:val="00F76E2D"/>
    <w:rsid w:val="00F825D5"/>
    <w:rsid w:val="00F8318F"/>
    <w:rsid w:val="00F83531"/>
    <w:rsid w:val="00F86456"/>
    <w:rsid w:val="00F91646"/>
    <w:rsid w:val="00F9501C"/>
    <w:rsid w:val="00F97956"/>
    <w:rsid w:val="00FA4672"/>
    <w:rsid w:val="00FA55B4"/>
    <w:rsid w:val="00FA70FE"/>
    <w:rsid w:val="00FB42D0"/>
    <w:rsid w:val="00FB5E68"/>
    <w:rsid w:val="00FD0C8B"/>
    <w:rsid w:val="00FD4B85"/>
    <w:rsid w:val="00FE3946"/>
    <w:rsid w:val="00FF142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6547C"/>
  <w15:chartTrackingRefBased/>
  <w15:docId w15:val="{48A330A5-7E80-44ED-8F26-090444DE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D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8DC"/>
    <w:pPr>
      <w:spacing w:after="0" w:line="240" w:lineRule="auto"/>
    </w:pPr>
    <w:rPr>
      <w:rFonts w:ascii="Times New Roman" w:eastAsia="Times New Roman" w:hAnsi="Times New Roman" w:cs="Times New Roman"/>
      <w:kern w:val="0"/>
      <w:lang w:val="es-US" w:eastAsia="es-US"/>
      <w14:ligatures w14:val="none"/>
    </w:rPr>
  </w:style>
  <w:style w:type="paragraph" w:styleId="Ttulo1">
    <w:name w:val="heading 1"/>
    <w:basedOn w:val="Normal"/>
    <w:next w:val="Normal"/>
    <w:link w:val="Ttulo1Car"/>
    <w:uiPriority w:val="9"/>
    <w:qFormat/>
    <w:rsid w:val="00B70B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70B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B70B0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B70B0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70B0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70B0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70B0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70B0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70B0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0B0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70B0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B70B0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B70B0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70B0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70B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0B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0B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0B0A"/>
    <w:rPr>
      <w:rFonts w:eastAsiaTheme="majorEastAsia" w:cstheme="majorBidi"/>
      <w:color w:val="272727" w:themeColor="text1" w:themeTint="D8"/>
    </w:rPr>
  </w:style>
  <w:style w:type="paragraph" w:styleId="Ttulo">
    <w:name w:val="Title"/>
    <w:basedOn w:val="Normal"/>
    <w:next w:val="Normal"/>
    <w:link w:val="TtuloCar"/>
    <w:uiPriority w:val="10"/>
    <w:qFormat/>
    <w:rsid w:val="00B70B0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70B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0B0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70B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0B0A"/>
    <w:pPr>
      <w:spacing w:before="160"/>
      <w:jc w:val="center"/>
    </w:pPr>
    <w:rPr>
      <w:i/>
      <w:iCs/>
      <w:color w:val="404040" w:themeColor="text1" w:themeTint="BF"/>
    </w:rPr>
  </w:style>
  <w:style w:type="character" w:customStyle="1" w:styleId="CitaCar">
    <w:name w:val="Cita Car"/>
    <w:basedOn w:val="Fuentedeprrafopredeter"/>
    <w:link w:val="Cita"/>
    <w:uiPriority w:val="29"/>
    <w:rsid w:val="00B70B0A"/>
    <w:rPr>
      <w:i/>
      <w:iCs/>
      <w:color w:val="404040" w:themeColor="text1" w:themeTint="BF"/>
    </w:rPr>
  </w:style>
  <w:style w:type="paragraph" w:styleId="Prrafodelista">
    <w:name w:val="List Paragraph"/>
    <w:basedOn w:val="Normal"/>
    <w:uiPriority w:val="34"/>
    <w:qFormat/>
    <w:rsid w:val="00B70B0A"/>
    <w:pPr>
      <w:ind w:left="720"/>
      <w:contextualSpacing/>
    </w:pPr>
  </w:style>
  <w:style w:type="character" w:styleId="nfasisintenso">
    <w:name w:val="Intense Emphasis"/>
    <w:basedOn w:val="Fuentedeprrafopredeter"/>
    <w:uiPriority w:val="21"/>
    <w:qFormat/>
    <w:rsid w:val="00B70B0A"/>
    <w:rPr>
      <w:i/>
      <w:iCs/>
      <w:color w:val="0F4761" w:themeColor="accent1" w:themeShade="BF"/>
    </w:rPr>
  </w:style>
  <w:style w:type="paragraph" w:styleId="Citadestacada">
    <w:name w:val="Intense Quote"/>
    <w:basedOn w:val="Normal"/>
    <w:next w:val="Normal"/>
    <w:link w:val="CitadestacadaCar"/>
    <w:uiPriority w:val="30"/>
    <w:qFormat/>
    <w:rsid w:val="00B70B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70B0A"/>
    <w:rPr>
      <w:i/>
      <w:iCs/>
      <w:color w:val="0F4761" w:themeColor="accent1" w:themeShade="BF"/>
    </w:rPr>
  </w:style>
  <w:style w:type="character" w:styleId="Referenciaintensa">
    <w:name w:val="Intense Reference"/>
    <w:basedOn w:val="Fuentedeprrafopredeter"/>
    <w:uiPriority w:val="32"/>
    <w:qFormat/>
    <w:rsid w:val="00B70B0A"/>
    <w:rPr>
      <w:b/>
      <w:bCs/>
      <w:smallCaps/>
      <w:color w:val="0F4761" w:themeColor="accent1" w:themeShade="BF"/>
      <w:spacing w:val="5"/>
    </w:rPr>
  </w:style>
  <w:style w:type="paragraph" w:styleId="NormalWeb">
    <w:name w:val="Normal (Web)"/>
    <w:basedOn w:val="Normal"/>
    <w:uiPriority w:val="99"/>
    <w:semiHidden/>
    <w:unhideWhenUsed/>
    <w:rsid w:val="00B70B0A"/>
  </w:style>
  <w:style w:type="paragraph" w:styleId="Encabezado">
    <w:name w:val="header"/>
    <w:basedOn w:val="Normal"/>
    <w:link w:val="EncabezadoCar"/>
    <w:uiPriority w:val="99"/>
    <w:unhideWhenUsed/>
    <w:rsid w:val="00B70B0A"/>
    <w:pPr>
      <w:tabs>
        <w:tab w:val="center" w:pos="4252"/>
        <w:tab w:val="right" w:pos="8504"/>
      </w:tabs>
    </w:pPr>
  </w:style>
  <w:style w:type="character" w:customStyle="1" w:styleId="EncabezadoCar">
    <w:name w:val="Encabezado Car"/>
    <w:basedOn w:val="Fuentedeprrafopredeter"/>
    <w:link w:val="Encabezado"/>
    <w:uiPriority w:val="99"/>
    <w:rsid w:val="00B70B0A"/>
  </w:style>
  <w:style w:type="paragraph" w:styleId="Piedepgina">
    <w:name w:val="footer"/>
    <w:basedOn w:val="Normal"/>
    <w:link w:val="PiedepginaCar"/>
    <w:uiPriority w:val="99"/>
    <w:unhideWhenUsed/>
    <w:rsid w:val="00B70B0A"/>
    <w:pPr>
      <w:tabs>
        <w:tab w:val="center" w:pos="4252"/>
        <w:tab w:val="right" w:pos="8504"/>
      </w:tabs>
    </w:pPr>
  </w:style>
  <w:style w:type="character" w:customStyle="1" w:styleId="PiedepginaCar">
    <w:name w:val="Pie de página Car"/>
    <w:basedOn w:val="Fuentedeprrafopredeter"/>
    <w:link w:val="Piedepgina"/>
    <w:uiPriority w:val="99"/>
    <w:rsid w:val="00B70B0A"/>
  </w:style>
  <w:style w:type="paragraph" w:styleId="Textoindependiente">
    <w:name w:val="Body Text"/>
    <w:basedOn w:val="Normal"/>
    <w:link w:val="TextoindependienteCar"/>
    <w:uiPriority w:val="99"/>
    <w:semiHidden/>
    <w:rsid w:val="00B70B0A"/>
    <w:pPr>
      <w:jc w:val="both"/>
    </w:pPr>
    <w:rPr>
      <w:lang w:val="es-ES" w:eastAsia="es-ES"/>
    </w:rPr>
  </w:style>
  <w:style w:type="character" w:customStyle="1" w:styleId="TextoindependienteCar">
    <w:name w:val="Texto independiente Car"/>
    <w:basedOn w:val="Fuentedeprrafopredeter"/>
    <w:link w:val="Textoindependiente"/>
    <w:uiPriority w:val="99"/>
    <w:semiHidden/>
    <w:rsid w:val="00B70B0A"/>
    <w:rPr>
      <w:rFonts w:ascii="Times New Roman" w:eastAsia="Times New Roman" w:hAnsi="Times New Roman" w:cs="Times New Roman"/>
      <w:kern w:val="0"/>
      <w:lang w:val="es-ES" w:eastAsia="es-ES"/>
      <w14:ligatures w14:val="none"/>
    </w:rPr>
  </w:style>
  <w:style w:type="character" w:styleId="Hipervnculo">
    <w:name w:val="Hyperlink"/>
    <w:basedOn w:val="Fuentedeprrafopredeter"/>
    <w:uiPriority w:val="99"/>
    <w:unhideWhenUsed/>
    <w:rsid w:val="002A6FD6"/>
    <w:rPr>
      <w:color w:val="467886" w:themeColor="hyperlink"/>
      <w:u w:val="single"/>
    </w:rPr>
  </w:style>
  <w:style w:type="character" w:customStyle="1" w:styleId="Mencinsinresolver1">
    <w:name w:val="Mención sin resolver1"/>
    <w:basedOn w:val="Fuentedeprrafopredeter"/>
    <w:uiPriority w:val="99"/>
    <w:semiHidden/>
    <w:unhideWhenUsed/>
    <w:rsid w:val="002A6FD6"/>
    <w:rPr>
      <w:color w:val="605E5C"/>
      <w:shd w:val="clear" w:color="auto" w:fill="E1DFDD"/>
    </w:rPr>
  </w:style>
  <w:style w:type="character" w:styleId="Textoennegrita">
    <w:name w:val="Strong"/>
    <w:basedOn w:val="Fuentedeprrafopredeter"/>
    <w:uiPriority w:val="22"/>
    <w:qFormat/>
    <w:rsid w:val="00D97D3D"/>
    <w:rPr>
      <w:b/>
      <w:bCs/>
    </w:rPr>
  </w:style>
  <w:style w:type="character" w:customStyle="1" w:styleId="Mencinsinresolver2">
    <w:name w:val="Mención sin resolver2"/>
    <w:basedOn w:val="Fuentedeprrafopredeter"/>
    <w:uiPriority w:val="99"/>
    <w:semiHidden/>
    <w:unhideWhenUsed/>
    <w:rsid w:val="00891530"/>
    <w:rPr>
      <w:color w:val="605E5C"/>
      <w:shd w:val="clear" w:color="auto" w:fill="E1DFDD"/>
    </w:rPr>
  </w:style>
  <w:style w:type="table" w:customStyle="1" w:styleId="TableNormal">
    <w:name w:val="Table Normal"/>
    <w:uiPriority w:val="99"/>
    <w:semiHidden/>
    <w:unhideWhenUsed/>
    <w:rsid w:val="00891530"/>
    <w:rPr>
      <w:lang w:val="es-E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72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digikey.com/en/products/detail/lumileds/LXH7-PW40/3961232"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1A5AD-E339-483E-BDD1-840AB05B1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69</Pages>
  <Words>23509</Words>
  <Characters>129305</Characters>
  <Application>Microsoft Office Word</Application>
  <DocSecurity>0</DocSecurity>
  <Lines>1077</Lines>
  <Paragraphs>305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Amalia Caamaño Salazar</dc:creator>
  <cp:keywords/>
  <dc:description/>
  <cp:lastModifiedBy>Carlos Manuel Sánchez Coronado</cp:lastModifiedBy>
  <cp:revision>20</cp:revision>
  <dcterms:created xsi:type="dcterms:W3CDTF">2026-04-25T04:55:00Z</dcterms:created>
  <dcterms:modified xsi:type="dcterms:W3CDTF">2026-04-25T18:52:00Z</dcterms:modified>
</cp:coreProperties>
</file>